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99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BFBFBF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唐河县巩固拓展脱贫攻坚成果同乡村振兴有效衔接工作推进情况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666666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666666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instrText xml:space="preserve"> HYPERLINK "http://sns.qzone.qq.com/cgi-bin/qzshare/cgi_qzshare_onekey?url=https://www.luohe.gov.cn/zdlyxxgkzl/xczx/content_1036152&amp;title=%E6%BC%AF%E6%B2%B3%E5%B8%82%E5%B7%A9%E5%9B%BA%E6%8B%93%E5%B1%95%E8%84%B1%E8%B4%AB%E6%94%BB%E5%9D%9A%E6%88%90%E6%9E%9C%E5%90%8C%E4%B9%A1%E6%9D%91%E6%8C%AF%E5%85%B4%E6%9C%89%E6%95%88%E8%A1%94%E6%8E%A5%E5%B7%A5%E4%BD%9C%E6%8E%A8%E8%BF%9B%E6%83%85%E5%86%B5&amp;desc=2025%E5%B9%B4%E4%BB%A5%E6%9D%A5%EF%BC%8C%E5%B8%82%E5%86%9C%E4%B8%9A%E5%86%9C%E6%9D%91%E5%B1%80%E5%9D%9A%E6%8C%81%E4%BB%A5%E4%B9%A0%E8%BF%91%E5%B9%B3%E6%96%B0%E6%97%B6%E4%BB%A3%E4%B8%AD%E5%9B%BD%E7%89%B9%E8%89%B2%E7%A4%BE%E4%BC%9A%E4%B8%BB%E4%B9%89%E6%80%9D%E6%83%B3%E4%B8%BA%E6%8C%87%E5%AF%BC%EF%BC%8C%E6%B7%B1%E5%85%A5%E5%AD%A6%E4%B9%A0%E8%B4%AF%E5%BD%BB%E4%B9%A0%E8%BF%91%E5%B9%B3%E6%80%BB%E4%B9%A6%E8%AE%B0%E5%85%B3%E4%BA%8E%E2%80%9C%E4%B8%89%E5%86%9C%E2%80%9D%E5%B7%A5%E4%BD%9C%E7%B3%BB%E5%88%97%E9%87%8D%E8%A6%81%E8%AE%BA%E8%BF%B0%E5%92%8C%E8%A7%86%E5%AF%9F%E6%B2%B3%E5%8D%97%E9%87%8D%E8%A6%81%E8%AE%B2%E8%AF%9D%E7%B2%BE%E7%A5%9E%EF%BC%8C%E5%85%A8%E9%9D%A2%E8%B4%AF%E5%BD%BB%E8%90%BD%E5%AE%9E%E5%85%9A%E4%B8%AD%E5%A4%AE%E3%80%81%E7%9C%81%E5%A7%94%E3%80%81%E5%B8%82%E5%A7%94%E5%86%B3%E7%AD%96%E9%83%A8%E7%BD%B2%EF%BC%8C%E7%B4%A7%E7%B4%A7%E5%9B%B4%E7%BB%95%E2%80%9C%E5%AE%88%E5%BA%95%E7%BA%BF%E3%80%81%E6%8A%93%E5%8F%91%E5%B1%95%E3%80%81%E4%BF%83%E6%8C%AF%E5%85%B4%E2%80%9D%E4%B8%BB%E9%A2%98%EF%BC%8C%E8%81%9A%E7%84%A6%E9%AB%98%E8%B4%A8%E9%87%8F%E3%80%81%E5%A5%8B%E5%8B%87%E4%BA%89%E7%AC%AC%E4%B8%80%EF%BC%8C%E9%AB%98%E6%A0%87%E5%87%86%E8%B0%8B%E5%88%92%E9%83%A8%E7%BD%B2%EF%BC%8C%E9%AB%98%E8%B4%A8%E9%87%8F%E6%8E%A8%E5%8A%A8%E8%90%BD%E5%AE%9E%EF%BC%8C%E6%8C%81%E7%BB%AD%E5%BC%BA%E5%8C%96%E5%B7%A9%E5%9B%BA%E6%8B%93%E5%B1%95%E8%84%B1%E8%B4%AB%E6%94%BB%E5%9D%9A%E6%88%90%E6%9E%9C%E5%B7%A5%E4%BD%9C%E4%B8%BE%E6%8E%AA%EF%BC%8C%E7%9D%80%E5%8A%9B%E5%9F%B9%E8%82%B2%E5%8F%AF%E5%A4%8D%E5%88%B6%E3%80%81%E5%8F%AF%E6%8E%A8%E5%B9%BF%E7%9A%84%E7%89%B9%E8%89%B2%E4%BA%AE%E7%82%B9%EF%BC%8C%E5%AE%88%E7%89%A2%E4%BA%86%E4%B8%8D%E5%8F%91%E7%94%9F%E8%A7%84%E6%A8%A1%E6%80%A7%E8%BF%94%E8%B4%AB%E8%87%B4%E8%B4%AB%E7%9A%84%E5%BA%95%E7%BA%BF%EF%BC%8C%E5%90%84%E9%A1%B9%E5%B7%A5%E4%BD%9C%E5%8F%96%E5%BE%97%E4%BA%86%E6%98%8E%E6%98%BE%E6%88%90%E6%95%88%EF%BC%8C%E4%B8%BA%E6%8E%A8%E8%BF%9B%E4%B9%A1%E6%9D%91%E5%85%A8%E9%9D%A2%E6%8C%AF%E5%85%B4%E5%A5%A0%E5%AE%9A%E4%BA%86%E5%9D%9A%E5%AE%9E%E5%9F%BA%E7%A1%80%E3%80%82%E5%9C%A82024%E5%B9%B4%E5%BA%A6%E5%85%A8%E7%9C%81%E5%B7%A9%E5%9B%BA%E6%8B%93%E5%B1%95%E8%84%B1%E8%B4%AB%E6%94%BB%E5%9D%9A%E6%88%90%E6%9E%9C%E5%90%8E%E8%AF%84%E4%BC%B0%E4%B8%AD%EF%BC%8C%E6%88%91%E5%B8%82%E7%BB%BC%E5%90%88%E8%AF%84%E4%BB%B7%E4%B8%BA%E2%80%9C%E5%A5%BD%E2%80%9D%E7%AD%89%E6%AC%A1%EF%BC%9B%E5%9C%A82024%E5%B9%B4%E5%BA%A6%E5%85%A8%E7%9C%81%E8%B4%A2%E6%94%BF%E8%A1%94%E6%8E%A5%E6%8E%A8%E8%BF%9B%E4%B9%A1%E6%9D%91%E6%8C%AF%E5%85%B4%E8%A1%A5%E5%8A%A9%E8%B5%84%E9%87%91%E7%BB%A9%E6%95%88%E8%AF%84%E4%BB%B7%E4%B8%AD%EF%BC%8C%E6%88%91%E5%B8%82%E8%A2%AB%E8%AF%84%E4%B8%BA%E2%80%9C%E4%BC%98%E7%A7%80%E2%80%9D%E2%80%A6%E2%80%A6&amp;summary=2025%E5%B9%B4%E4%BB%A5%E6%9D%A5%EF%BC%8C%E5%B8%82%E5%86%9C%E4%B8%9A%E5%86%9C%E6%9D%91%E5%B1%80%E5%9D%9A%E6%8C%81%E4%BB%A5%E4%B9%A0%E8%BF%91%E5%B9%B3%E6%96%B0%E6%97%B6%E4%BB%A3%E4%B8%AD%E5%9B%BD%E7%89%B9%E8%89%B2%E7%A4%BE%E4%BC%9A%E4%B8%BB%E4%B9%89%E6%80%9D%E6%83%B3%E4%B8%BA%E6%8C%87%E5%AF%BC%EF%BC%8C%E6%B7%B1%E5%85%A5%E5%AD%A6%E4%B9%A0%E8%B4%AF%E5%BD%BB%E4%B9%A0%E8%BF%91%E5%B9%B3%E6%80%BB%E4%B9%A6%E8%AE%B0%E5%85%B3%E4%BA%8E%E2%80%9C%E4%B8%89%E5%86%9C%E2%80%9D%E5%B7%A5%E4%BD%9C%E7%B3%BB%E5%88%97%E9%87%8D%E8%A6%81%E8%AE%BA%E8%BF%B0%E5%92%8C%E8%A7%86%E5%AF%9F%E6%B2%B3%E5%8D%97%E9%87%8D%E8%A6%81%E8%AE%B2%E8%AF%9D%E7%B2%BE%E7%A5%9E%EF%BC%8C%E5%85%A8%E9%9D%A2%E8%B4%AF%E5%BD%BB%E8%90%BD%E5%AE%9E%E5%85%9A%E4%B8%AD%E5%A4%AE%E3%80%81%E7%9C%81%E5%A7%94%E3%80%81%E5%B8%82%E5%A7%94%E5%86%B3%E7%AD%96%E9%83%A8%E7%BD%B2%EF%BC%8C%E7%B4%A7%E7%B4%A7%E5%9B%B4%E7%BB%95%E2%80%9C%E5%AE%88%E5%BA%95%E7%BA%BF%E3%80%81%E6%8A%93%E5%8F%91%E5%B1%95%E3%80%81%E4%BF%83%E6%8C%AF%E5%85%B4%E2%80%9D%E4%B8%BB%E9%A2%98%EF%BC%8C%E8%81%9A%E7%84%A6%E9%AB%98%E8%B4%A8%E9%87%8F%E3%80%81%E5%A5%8B%E5%8B%87%E4%BA%89%E7%AC%AC%E4%B8%80%EF%BC%8C%E9%AB%98%E6%A0%87%E5%87%86%E8%B0%8B%E5%88%92%E9%83%A8%E7%BD%B2%EF%BC%8C%E9%AB%98%E8%B4%A8%E9%87%8F%E6%8E%A8%E5%8A%A8%E8%90%BD%E5%AE%9E%EF%BC%8C%E6%8C%81%E7%BB%AD%E5%BC%BA%E5%8C%96%E5%B7%A9%E5%9B%BA%E6%8B%93%E5%B1%95%E8%84%B1%E8%B4%AB%E6%94%BB%E5%9D%9A%E6%88%90%E6%9E%9C%E5%B7%A5%E4%BD%9C%E4%B8%BE%E6%8E%AA%EF%BC%8C%E7%9D%80%E5%8A%9B%E5%9F%B9%E8%82%B2%E5%8F%AF%E5%A4%8D%E5%88%B6%E3%80%81%E5%8F%AF%E6%8E%A8%E5%B9%BF%E7%9A%84%E7%89%B9%E8%89%B2%E4%BA%AE%E7%82%B9%EF%BC%8C%E5%AE%88%E7%89%A2%E4%BA%86%E4%B8%8D%E5%8F%91%E7%94%9F%E8%A7%84%E6%A8%A1%E6%80%A7%E8%BF%94%E8%B4%AB%E8%87%B4%E8%B4%AB%E7%9A%84%E5%BA%95%E7%BA%BF%EF%BC%8C%E5%90%84%E9%A1%B9%E5%B7%A5%E4%BD%9C%E5%8F%96%E5%BE%97%E4%BA%86%E6%98%8E%E6%98%BE%E6%88%90%E6%95%88%EF%BC%8C%E4%B8%BA%E6%8E%A8%E8%BF%9B%E4%B9%A1%E6%9D%91%E5%85%A8%E9%9D%A2%E6%8C%AF%E5%85%B4%E5%A5%A0%E5%AE%9A%E4%BA%86%E5%9D%9A%E5%AE%9E%E5%9F%BA%E7%A1%80%E3%80%82%E5%9C%A82024%E5%B9%B4%E5%BA%A6%E5%85%A8%E7%9C%81%E5%B7%A9%E5%9B%BA%E6%8B%93%E5%B1%95%E8%84%B1%E8%B4%AB%E6%94%BB%E5%9D%9A%E6%88%90%E6%9E%9C%E5%90%8E%E8%AF%84%E4%BC%B0%E4%B8%AD%EF%BC%8C%E6%88%91%E5%B8%82%E7%BB%BC%E5%90%88%E8%AF%84%E4%BB%B7%E4%B8%BA%E2%80%9C%E5%A5%BD%E2%80%9D%E7%AD%89%E6%AC%A1%EF%BC%9B%E5%9C%A82024%E5%B9%B4%E5%BA%A6%E5%85%A8%E7%9C%81%E8%B4%A2%E6%94%BF%E8%A1%94%E6%8E%A5%E6%8E%A8%E8%BF%9B%E4%B9%A1%E6%9D%91%E6%8C%AF%E5%85%B4%E8%A1%A5%E5%8A%A9%E8%B5%84%E9%87%91%E7%BB%A9%E6%95%88%E8%AF%84%E4%BB%B7%E4%B8%AD%EF%BC%8C%E6%88%91%E5%B8%82%E8%A2%AB%E8%AF%84%E4%B8%BA%E2%80%9C%E4%BC%98%E7%A7%80%E2%80%9D%E2%80%A6%E2%80%A6&amp;site=%E6%BC%AF%E6%B2%B3%E5%B8%82%E4%BA%BA%E6%B0%91%E6%94%BF%E5%BA%9C%E7%BD%91%E7%AB%99&amp;pics=https://www.luohe.gov.cn/content/_common/base/img/icon-browser/br-chrome.png" \t "https://www.luohe.gov.cn/zdlyxxgkzl/xczx/_blank"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666666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666666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666666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666666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instrText xml:space="preserve"> HYPERLINK "https://service.weibo.com/share/share.php?url=https://www.luohe.gov.cn/zdlyxxgkzl/xczx/content_1036152&amp;title=%E6%BC%AF%E6%B2%B3%E5%B8%82%E5%B7%A9%E5%9B%BA%E6%8B%93%E5%B1%95%E8%84%B1%E8%B4%AB%E6%94%BB%E5%9D%9A%E6%88%90%E6%9E%9C%E5%90%8C%E4%B9%A1%E6%9D%91%E6%8C%AF%E5%85%B4%E6%9C%89%E6%95%88%E8%A1%94%E6%8E%A5%E5%B7%A5%E4%BD%9C%E6%8E%A8%E8%BF%9B%E6%83%85%E5%86%B5&amp;pic=https://www.luohe.gov.cn/content/_common/base/img/icon-browser/br-chrome.png&amp;appkey=" \t "https://www.luohe.gov.cn/zdlyxxgkzl/xczx/_blank"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666666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666666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end"/>
      </w:r>
    </w:p>
    <w:p w14:paraId="264A14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2025年以来，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唐河县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农业农村局坚持以习近平新时代中国特色社会主义思想为指导，深入学习贯彻习近平总书记关于“三农”工作系列重要论述和视察河南重要讲话精神，全面贯彻落实党中央、省委、市委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、县委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决策部署，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把坚决守住不发生规模性返贫底线作为重要政治任务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摆在突出位置，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切实扛稳政治责任，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严格落实“四个不摘”要求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责任落实、政策落实、工作落实成效明显，脱贫成效持续巩固，圆满完成工作目标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，为推进乡村全面振兴奠定了坚实基础。在2024年度全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巩固拓展脱贫攻坚成果后评估中，我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综合评价为“好”等次。</w:t>
      </w:r>
    </w:p>
    <w:p w14:paraId="671CEB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聚焦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防返贫致贫监测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守牢政治底线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常态化排查与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集中排查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相结合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，实时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推送全县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返贫致贫风险预警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，精准落实帮扶措施，积极稳妥消除风险。截至1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月底，全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累计识别监测对象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3340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9537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标注兜底保障户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763户1258人，风险消除2411户7650人，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风险消除率80.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监测对象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户均享受4.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项帮扶措施，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家庭成员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有劳动能力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监测对象开发式帮扶措施落实率100%。</w:t>
      </w:r>
    </w:p>
    <w:p w14:paraId="49866D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聚焦“四项保障”，巩固脱贫成果。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扎实开展控辍保学、送教上门等行动，义务教育巩固率达99.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着力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改善基层医疗卫生条件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乡村医疗卫生机构全部达标，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标准化村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卫生室占比超9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脱贫群众（监测对象）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2025年度参保率为99.6%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常态化开展农村住房安全隐患排查，完成危房改造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农村供水保障水平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稳步提升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，集中供水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率达92.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%，自来水普及率达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91.36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34AF5E2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聚焦“双业”帮扶，激发内生动力。一是着力推进产业发展。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积极引导脱贫户（监测对象）自主发展产业，202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实施个人产业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户，发放奖补资金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982.49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扎实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帮扶产业项目“四个一批”行动，排查帮扶产业项目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个。全县19个乡村振兴产业园，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入驻企业1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家，完成投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62.24亿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元，年产值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亿元，安置就业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余人，人均年收入3.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万元，带动脱贫户（监测对象）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10355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10个帮扶车间和5个光伏电站正常运营。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二是持续强化就业帮扶。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深入实施“雨露计划+”就业促进行动，202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年度全县开发各类公益性岗位1.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万个，发放省外务工一次性交通补贴2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138.75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扎实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开展“人人持证、技能河南”，202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年新增持证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全县脱贫人口（监测对象）就业人员稳定在1.4万人以上，实现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有劳动力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家庭至少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就业。</w:t>
      </w:r>
    </w:p>
    <w:p w14:paraId="7DCBC1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聚焦项目建设，“三资”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管理规范提升。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及早谋划入库，适时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对项目实施、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资金支出、数据质量等进行调度，及时帮助解决项目推进中遇到的各类困难和问题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共投入各级衔接资金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亿元、实施项目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个，已全部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工。持续加强帮扶项目资产后续管理，促进其稳定良性运行、持续发挥作用。全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累计形成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1400个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帮扶项目资产，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其中经营类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529个、公益类871个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4B650E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是乡村建设和乡村治理有序推进。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把乡村建设和乡村治理作为推进乡村振兴战略的重要任务，以基层党建引领高效能治理，加强乡村基础设施建设、提升公共服务水平、深化农村人居环境整治、移风易俗等相关工作，干部作风不断转变，村庄面貌、户容户貌、群众精神面貌全面改善，群众对巩固拓展脱贫攻坚成果的认可度、满意度不断提升。2025年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共选派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名第一书记、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名工作队员到重点帮扶村进行帮扶，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同时安排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55名乡村振兴协理员到重点村开展工作，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基层党组织建设持续加强；农村生活垃圾处理实现全覆盖，农村生活污水治理率达到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，目前全县已建成省级和美乡村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5个、富美乡村12个，宜居宜业和美乡村建设初见成效。</w:t>
      </w:r>
    </w:p>
    <w:p w14:paraId="4CA8A838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C678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288B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288B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ZjdlNGNkYWNmMTViODUyOWVmNGM5ZmVmMWNjYzkifQ=="/>
  </w:docVars>
  <w:rsids>
    <w:rsidRoot w:val="00000000"/>
    <w:rsid w:val="07F13D40"/>
    <w:rsid w:val="1ABC1768"/>
    <w:rsid w:val="3CAE0F80"/>
    <w:rsid w:val="58D62A1F"/>
    <w:rsid w:val="5A1976AD"/>
    <w:rsid w:val="5F75C1CB"/>
    <w:rsid w:val="7AA768FF"/>
    <w:rsid w:val="9BFDE1BB"/>
    <w:rsid w:val="AF2307AB"/>
    <w:rsid w:val="BA7B23C6"/>
    <w:rsid w:val="F7D79366"/>
    <w:rsid w:val="FE734873"/>
    <w:rsid w:val="FEFF5310"/>
    <w:rsid w:val="FFFD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1"/>
    <w:qFormat/>
    <w:uiPriority w:val="0"/>
    <w:pPr>
      <w:widowControl/>
      <w:adjustRightInd w:val="0"/>
      <w:snapToGrid w:val="0"/>
      <w:spacing w:before="100" w:beforeAutospacing="1" w:after="200"/>
      <w:ind w:firstLine="100" w:firstLineChars="100"/>
      <w:jc w:val="left"/>
    </w:pPr>
    <w:rPr>
      <w:rFonts w:ascii="Times New Roman" w:hAnsi="Times New Roman" w:eastAsia="微软雅黑"/>
      <w:kern w:val="0"/>
      <w:sz w:val="22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1491</Characters>
  <Lines>0</Lines>
  <Paragraphs>0</Paragraphs>
  <TotalTime>110</TotalTime>
  <ScaleCrop>false</ScaleCrop>
  <LinksUpToDate>false</LinksUpToDate>
  <CharactersWithSpaces>1491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2026-01-06T15:17:00Z</dcterms:created>
  <dc:creator>Administrator</dc:creator>
  <cp:lastModifiedBy>WPS_570189899</cp:lastModifiedBy>
  <dcterms:modified xsi:type="dcterms:W3CDTF">2026-01-05T01:14:16Z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5C511E3557B84E3EA1A433EEA1F27827_13</vt:lpwstr>
  </property>
  <property fmtid="{D5CDD505-2E9C-101B-9397-08002B2CF9AE}" pid="4" name="KSOTemplateDocerSaveRecord">
    <vt:lpwstr>eyJoZGlkIjoiMDViMzhhYWE5MDNkZTMyMzIwYzNiZDdjZGFhMDQ5MTIiLCJ1c2VySWQiOiI1NzAxODk4OTkifQ==</vt:lpwstr>
  </property>
</Properties>
</file>