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3</w:t>
      </w:r>
    </w:p>
    <w:p>
      <w:pPr>
        <w:ind w:left="0" w:leftChars="0" w:firstLine="0" w:firstLineChars="0"/>
        <w:jc w:val="center"/>
        <w:rPr>
          <w:rFonts w:hint="eastAsia" w:ascii="黑体" w:hAnsi="黑体" w:eastAsia="黑体" w:cs="黑体"/>
          <w:b/>
          <w:bCs/>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唐河县非煤矿山行业风险分析</w:t>
      </w:r>
    </w:p>
    <w:p>
      <w:pPr>
        <w:bidi w:val="0"/>
        <w:rPr>
          <w:rFonts w:hint="eastAsia"/>
          <w:lang w:val="en-US" w:eastAsia="zh-CN"/>
        </w:rPr>
      </w:pPr>
    </w:p>
    <w:p>
      <w:pPr>
        <w:bidi w:val="0"/>
        <w:rPr>
          <w:rFonts w:hint="default"/>
          <w:lang w:val="en-US" w:eastAsia="zh-CN"/>
        </w:rPr>
      </w:pPr>
      <w:r>
        <w:rPr>
          <w:rFonts w:hint="eastAsia"/>
          <w:lang w:val="en-US" w:eastAsia="zh-CN"/>
        </w:rPr>
        <w:t>唐河县辖区内目前只有马振抚镇的饰面用花岗岩矿和黑龙镇水泥用石灰岩矿两座露天非煤矿山。</w:t>
      </w:r>
    </w:p>
    <w:p>
      <w:pPr>
        <w:bidi w:val="0"/>
        <w:rPr>
          <w:rFonts w:hint="default"/>
          <w:b/>
          <w:bCs/>
          <w:lang w:val="en-US" w:eastAsia="zh-CN"/>
        </w:rPr>
      </w:pPr>
      <w:r>
        <w:rPr>
          <w:rFonts w:hint="eastAsia"/>
          <w:b/>
          <w:bCs/>
          <w:lang w:val="en-US" w:eastAsia="zh-CN"/>
        </w:rPr>
        <w:t>1.坍塌</w:t>
      </w:r>
    </w:p>
    <w:p>
      <w:pPr>
        <w:bidi w:val="0"/>
        <w:rPr>
          <w:rFonts w:hint="eastAsia"/>
          <w:lang w:val="en-US" w:eastAsia="zh-CN"/>
        </w:rPr>
      </w:pPr>
      <w:r>
        <w:rPr>
          <w:rFonts w:hint="eastAsia"/>
          <w:lang w:val="en-US" w:eastAsia="zh-CN"/>
        </w:rPr>
        <w:t>露天采场由于受地形地貌、自然环境、矿床埋藏条件的制约以及实施开采工艺的需要，在开采过程中，将形成具有一定坡度的作业场所，开采过程中，上部坡顶的岩体受某种条件（爆破震动、雨水冲刷等）的影响，原有的平衡状态被破坏，稳定性受到影响，易产生坍塌。</w:t>
      </w:r>
    </w:p>
    <w:p>
      <w:pPr>
        <w:bidi w:val="0"/>
        <w:rPr>
          <w:rFonts w:hint="eastAsia"/>
          <w:lang w:val="en-US" w:eastAsia="zh-CN"/>
        </w:rPr>
      </w:pPr>
      <w:r>
        <w:rPr>
          <w:rFonts w:hint="eastAsia"/>
          <w:lang w:val="en-US" w:eastAsia="zh-CN"/>
        </w:rPr>
        <w:t>（1）开采单元的划分及露天采场构成要素不合理。如未划分阶段（台阶），采场阶段（台阶）太高、坡面角过大，采场边帮坡面角（边坡角）过大等，都容易发生滑坡；</w:t>
      </w:r>
    </w:p>
    <w:p>
      <w:pPr>
        <w:bidi w:val="0"/>
        <w:rPr>
          <w:rFonts w:hint="eastAsia"/>
          <w:lang w:val="en-US" w:eastAsia="zh-CN"/>
        </w:rPr>
      </w:pPr>
      <w:r>
        <w:rPr>
          <w:rFonts w:hint="eastAsia"/>
          <w:lang w:val="en-US" w:eastAsia="zh-CN"/>
        </w:rPr>
        <w:t>（2）单纯追求经济效益，使边坡角过陡，加上不按合理顺序开采或边剥离边掏底；</w:t>
      </w:r>
    </w:p>
    <w:p>
      <w:pPr>
        <w:bidi w:val="0"/>
        <w:rPr>
          <w:rFonts w:hint="eastAsia"/>
          <w:lang w:val="en-US" w:eastAsia="zh-CN"/>
        </w:rPr>
      </w:pPr>
      <w:r>
        <w:rPr>
          <w:rFonts w:hint="eastAsia"/>
          <w:lang w:val="en-US" w:eastAsia="zh-CN"/>
        </w:rPr>
        <w:t>（3）在降雨量集中的月份，雨水较大，冲刷露天采场坡面，可能引发坍塌事故。</w:t>
      </w:r>
    </w:p>
    <w:p>
      <w:pPr>
        <w:bidi w:val="0"/>
        <w:rPr>
          <w:rFonts w:hint="eastAsia"/>
          <w:b/>
          <w:bCs/>
          <w:lang w:val="en-US" w:eastAsia="zh-CN"/>
        </w:rPr>
      </w:pPr>
      <w:r>
        <w:rPr>
          <w:rFonts w:hint="eastAsia"/>
          <w:b/>
          <w:bCs/>
          <w:lang w:val="en-US" w:eastAsia="zh-CN"/>
        </w:rPr>
        <w:t>2.放炮</w:t>
      </w:r>
    </w:p>
    <w:p>
      <w:pPr>
        <w:bidi w:val="0"/>
        <w:rPr>
          <w:rFonts w:hint="eastAsia"/>
          <w:lang w:val="en-US" w:eastAsia="zh-CN"/>
        </w:rPr>
      </w:pPr>
      <w:r>
        <w:rPr>
          <w:rFonts w:hint="eastAsia"/>
          <w:lang w:val="en-US" w:eastAsia="zh-CN"/>
        </w:rPr>
        <w:t>在露天开采过程中（石灰岩矿），开采生产存在着以下危险：</w:t>
      </w:r>
    </w:p>
    <w:p>
      <w:pPr>
        <w:bidi w:val="0"/>
        <w:rPr>
          <w:rFonts w:hint="eastAsia"/>
          <w:lang w:val="en-US" w:eastAsia="zh-CN"/>
        </w:rPr>
      </w:pPr>
      <w:r>
        <w:rPr>
          <w:rFonts w:hint="eastAsia"/>
          <w:lang w:val="en-US" w:eastAsia="zh-CN"/>
        </w:rPr>
        <w:t>（1）在爆破作业中，若违背《爆破安全规程》与操作规程，易发生伤亡事故；</w:t>
      </w:r>
    </w:p>
    <w:p>
      <w:pPr>
        <w:bidi w:val="0"/>
        <w:rPr>
          <w:rFonts w:hint="eastAsia"/>
          <w:lang w:val="en-US" w:eastAsia="zh-CN"/>
        </w:rPr>
      </w:pPr>
      <w:r>
        <w:rPr>
          <w:rFonts w:hint="eastAsia"/>
          <w:lang w:val="en-US" w:eastAsia="zh-CN"/>
        </w:rPr>
        <w:t>（2）残炮、盲炮都可能引发危险，若处理不当，易引发严重事故；</w:t>
      </w:r>
    </w:p>
    <w:p>
      <w:pPr>
        <w:bidi w:val="0"/>
        <w:rPr>
          <w:rFonts w:hint="eastAsia"/>
          <w:lang w:val="en-US" w:eastAsia="zh-CN"/>
        </w:rPr>
      </w:pPr>
      <w:r>
        <w:rPr>
          <w:rFonts w:hint="eastAsia"/>
          <w:lang w:val="en-US" w:eastAsia="zh-CN"/>
        </w:rPr>
        <w:t>（3）若爆破设计不合理或未按审批的爆破设计施工、人员误操作、爆破器材质量差等，都可能引起放炮事故的发生；</w:t>
      </w:r>
    </w:p>
    <w:p>
      <w:pPr>
        <w:bidi w:val="0"/>
        <w:rPr>
          <w:rFonts w:hint="eastAsia"/>
          <w:lang w:val="en-US" w:eastAsia="zh-CN"/>
        </w:rPr>
      </w:pPr>
      <w:r>
        <w:rPr>
          <w:rFonts w:hint="eastAsia"/>
          <w:lang w:val="en-US" w:eastAsia="zh-CN"/>
        </w:rPr>
        <w:t>（4）爆破警戒和信号发生错误引发的危险，爆破警戒范围确定有误、警示标志不明显、执行警戒任务的人员未按指令到达指定地点并坚守工作岗位或由于其它意外因素，导致爆破警戒范围内出现人员而进行了起爆，往往导致严重后果。</w:t>
      </w:r>
    </w:p>
    <w:p>
      <w:pPr>
        <w:bidi w:val="0"/>
        <w:rPr>
          <w:rFonts w:hint="eastAsia"/>
          <w:b/>
          <w:bCs/>
          <w:lang w:val="en-US" w:eastAsia="zh-CN"/>
        </w:rPr>
      </w:pPr>
      <w:r>
        <w:rPr>
          <w:rFonts w:hint="eastAsia"/>
          <w:b/>
          <w:bCs/>
          <w:lang w:val="en-US" w:eastAsia="zh-CN"/>
        </w:rPr>
        <w:t>3.高处坠落</w:t>
      </w:r>
    </w:p>
    <w:p>
      <w:pPr>
        <w:bidi w:val="0"/>
        <w:rPr>
          <w:rFonts w:hint="eastAsia"/>
          <w:lang w:val="en-US" w:eastAsia="zh-CN"/>
        </w:rPr>
      </w:pPr>
      <w:r>
        <w:rPr>
          <w:rFonts w:hint="eastAsia"/>
          <w:lang w:val="en-US" w:eastAsia="zh-CN"/>
        </w:rPr>
        <w:t>露天非煤矿山为阶梯开采，作业人员与作业场所内的物体都具有较大的势能。高处坠落主要发生在剥离作业面、凿岩（切割）作业面、作业平台、安全平台、采场边坡等。</w:t>
      </w:r>
    </w:p>
    <w:p>
      <w:pPr>
        <w:bidi w:val="0"/>
        <w:rPr>
          <w:rFonts w:hint="eastAsia"/>
          <w:b/>
          <w:bCs/>
          <w:lang w:val="en-US" w:eastAsia="zh-CN"/>
        </w:rPr>
      </w:pPr>
      <w:r>
        <w:rPr>
          <w:rFonts w:hint="eastAsia"/>
          <w:b/>
          <w:bCs/>
          <w:lang w:val="en-US" w:eastAsia="zh-CN"/>
        </w:rPr>
        <w:t>4.物体打击</w:t>
      </w:r>
    </w:p>
    <w:p>
      <w:pPr>
        <w:bidi w:val="0"/>
        <w:rPr>
          <w:rFonts w:hint="eastAsia"/>
          <w:lang w:val="en-US" w:eastAsia="zh-CN"/>
        </w:rPr>
      </w:pPr>
      <w:r>
        <w:rPr>
          <w:rFonts w:hint="eastAsia"/>
          <w:lang w:val="en-US" w:eastAsia="zh-CN"/>
        </w:rPr>
        <w:t>露天采场在采剥过程中，由于管理不善，边坡浮石及上段工作平台碎石清扫不净，受到锯切、爆破、采装、运输等某种震动，很可能发生滚石滑落，严重威胁工作面下部作业人员。</w:t>
      </w:r>
    </w:p>
    <w:p>
      <w:pPr>
        <w:bidi w:val="0"/>
        <w:rPr>
          <w:rFonts w:hint="eastAsia"/>
          <w:lang w:val="en-US" w:eastAsia="zh-CN"/>
        </w:rPr>
      </w:pPr>
      <w:r>
        <w:rPr>
          <w:rFonts w:hint="eastAsia"/>
          <w:lang w:val="en-US" w:eastAsia="zh-CN"/>
        </w:rPr>
        <w:t>（1）处理浮石等不及时；</w:t>
      </w:r>
    </w:p>
    <w:p>
      <w:pPr>
        <w:bidi w:val="0"/>
        <w:rPr>
          <w:rFonts w:hint="eastAsia"/>
          <w:lang w:val="en-US" w:eastAsia="zh-CN"/>
        </w:rPr>
      </w:pPr>
      <w:r>
        <w:rPr>
          <w:rFonts w:hint="eastAsia"/>
          <w:lang w:val="en-US" w:eastAsia="zh-CN"/>
        </w:rPr>
        <w:t>（2）爆破时边帮受震动，引起不稳定浮石突然下滑；</w:t>
      </w:r>
    </w:p>
    <w:p>
      <w:pPr>
        <w:bidi w:val="0"/>
        <w:rPr>
          <w:rFonts w:hint="eastAsia"/>
          <w:lang w:val="en-US" w:eastAsia="zh-CN"/>
        </w:rPr>
      </w:pPr>
      <w:r>
        <w:rPr>
          <w:rFonts w:hint="eastAsia"/>
          <w:lang w:val="en-US" w:eastAsia="zh-CN"/>
        </w:rPr>
        <w:t>（3）安全平台宽度不足，不能充分缓冲和阻截滑落的岩石；</w:t>
      </w:r>
    </w:p>
    <w:p>
      <w:pPr>
        <w:bidi w:val="0"/>
        <w:rPr>
          <w:rFonts w:hint="eastAsia"/>
          <w:lang w:val="en-US" w:eastAsia="zh-CN"/>
        </w:rPr>
      </w:pPr>
      <w:r>
        <w:rPr>
          <w:rFonts w:hint="eastAsia"/>
          <w:lang w:val="en-US" w:eastAsia="zh-CN"/>
        </w:rPr>
        <w:t>（4）处理浮石操作方法不当；</w:t>
      </w:r>
    </w:p>
    <w:p>
      <w:pPr>
        <w:bidi w:val="0"/>
        <w:rPr>
          <w:rFonts w:hint="eastAsia"/>
          <w:lang w:val="en-US" w:eastAsia="zh-CN"/>
        </w:rPr>
      </w:pPr>
      <w:r>
        <w:rPr>
          <w:rFonts w:hint="eastAsia"/>
          <w:lang w:val="en-US" w:eastAsia="zh-CN"/>
        </w:rPr>
        <w:t>（5）排土场在排弃过程中，有时会因各种原因导致个别大块岩石未能滚落到底，在排土场坡面形成危石。</w:t>
      </w:r>
    </w:p>
    <w:p>
      <w:pPr>
        <w:bidi w:val="0"/>
        <w:rPr>
          <w:rFonts w:hint="eastAsia"/>
          <w:b/>
          <w:bCs/>
          <w:lang w:val="en-US" w:eastAsia="zh-CN"/>
        </w:rPr>
      </w:pPr>
      <w:r>
        <w:rPr>
          <w:rFonts w:hint="eastAsia"/>
          <w:b/>
          <w:bCs/>
          <w:lang w:val="en-US" w:eastAsia="zh-CN"/>
        </w:rPr>
        <w:t>5.车辆伤害</w:t>
      </w:r>
    </w:p>
    <w:p>
      <w:pPr>
        <w:bidi w:val="0"/>
        <w:rPr>
          <w:rFonts w:hint="eastAsia"/>
          <w:lang w:val="en-US" w:eastAsia="zh-CN"/>
        </w:rPr>
      </w:pPr>
      <w:r>
        <w:rPr>
          <w:rFonts w:hint="eastAsia"/>
          <w:lang w:val="en-US" w:eastAsia="zh-CN"/>
        </w:rPr>
        <w:t>车辆伤害事故包括车辆行驶中引起的挤压、撞车或倾覆等造成的人身伤害；车辆运行中碰撞建筑物、构筑物、堆积物引起建筑物倒塌、物体飞溅下落和挤压地面而产生物体飞溅等造成的人身伤害。非煤矿山企业在物料的运输过程中，由于职工粗心、司机的精力不集中、违章操作或操作失误等造成车辆伤害。</w:t>
      </w:r>
    </w:p>
    <w:p>
      <w:pPr>
        <w:bidi w:val="0"/>
        <w:rPr>
          <w:rFonts w:hint="eastAsia"/>
          <w:b/>
          <w:bCs/>
          <w:lang w:val="en-US" w:eastAsia="zh-CN"/>
        </w:rPr>
      </w:pPr>
      <w:r>
        <w:rPr>
          <w:rFonts w:hint="eastAsia"/>
          <w:b/>
          <w:bCs/>
          <w:lang w:val="en-US" w:eastAsia="zh-CN"/>
        </w:rPr>
        <w:t>6.机械伤害</w:t>
      </w:r>
    </w:p>
    <w:p>
      <w:pPr>
        <w:bidi w:val="0"/>
        <w:rPr>
          <w:rFonts w:hint="default"/>
          <w:highlight w:val="yellow"/>
          <w:lang w:val="en-US" w:eastAsia="zh-CN"/>
        </w:rPr>
      </w:pPr>
      <w:r>
        <w:rPr>
          <w:rFonts w:hint="eastAsia"/>
          <w:lang w:val="en-US" w:eastAsia="zh-CN"/>
        </w:rPr>
        <w:t>机械伤害主要指机械设备运动(静止)部件、工具、加工件直接与人体接触引起的夹击、碰撞、剪切、卷入、绞、碾、割、刺等形式的伤害。各类转动机械的外露传动部分（如齿轮、轴、履带等）和往复运动部分都有可能对人体造成机械伤害。</w:t>
      </w:r>
      <w:r>
        <w:rPr>
          <w:rFonts w:hint="eastAsia"/>
          <w:highlight w:val="none"/>
          <w:lang w:val="en-US" w:eastAsia="zh-CN"/>
        </w:rPr>
        <w:t>非煤矿山使用圆盘锯石机、凿岩机等机械设备，主要发生在剥离过程、凿岩及凿岩台阶、设备检维修及检修场所、破碎过程等。</w:t>
      </w:r>
    </w:p>
    <w:p>
      <w:pPr>
        <w:bidi w:val="0"/>
        <w:rPr>
          <w:rFonts w:hint="eastAsia"/>
          <w:b/>
          <w:bCs/>
          <w:lang w:val="en-US" w:eastAsia="zh-CN"/>
        </w:rPr>
      </w:pPr>
      <w:r>
        <w:rPr>
          <w:rFonts w:hint="eastAsia"/>
          <w:b/>
          <w:bCs/>
          <w:lang w:val="en-US" w:eastAsia="zh-CN"/>
        </w:rPr>
        <w:t>7.触电</w:t>
      </w:r>
    </w:p>
    <w:p>
      <w:pPr>
        <w:bidi w:val="0"/>
        <w:rPr>
          <w:rFonts w:hint="eastAsia"/>
          <w:lang w:val="en-US" w:eastAsia="zh-CN"/>
        </w:rPr>
      </w:pPr>
      <w:r>
        <w:rPr>
          <w:rFonts w:hint="eastAsia"/>
          <w:lang w:val="en-US" w:eastAsia="zh-CN"/>
        </w:rPr>
        <w:t>非煤矿山企业涉及的用电设施和设备多，在变配电系统、设备设施操作、电气维修作业以及临时用电工程等易引发触电事故。</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cs="Times New Roman"/>
          <w:b w:val="0"/>
          <w:bCs w:val="0"/>
          <w:kern w:val="2"/>
          <w:sz w:val="32"/>
          <w:szCs w:val="32"/>
          <w:lang w:val="en-US" w:eastAsia="zh-CN" w:bidi="ar-SA"/>
        </w:rPr>
        <w:t>根据以上风险分析结果，将</w:t>
      </w:r>
      <w:r>
        <w:rPr>
          <w:rFonts w:hint="eastAsia" w:ascii="Times New Roman" w:hAnsi="Times New Roman" w:eastAsia="仿宋_GB2312" w:cs="Times New Roman"/>
          <w:b w:val="0"/>
          <w:bCs w:val="0"/>
          <w:kern w:val="2"/>
          <w:sz w:val="32"/>
          <w:szCs w:val="32"/>
          <w:lang w:val="en-US" w:eastAsia="zh-CN" w:bidi="ar-SA"/>
        </w:rPr>
        <w:t>唐河县</w:t>
      </w:r>
      <w:r>
        <w:rPr>
          <w:rFonts w:hint="eastAsia" w:ascii="Times New Roman" w:hAnsi="Times New Roman" w:cs="Times New Roman"/>
          <w:b w:val="0"/>
          <w:bCs w:val="0"/>
          <w:kern w:val="2"/>
          <w:sz w:val="32"/>
          <w:szCs w:val="32"/>
          <w:lang w:val="en-US" w:eastAsia="zh-CN" w:bidi="ar-SA"/>
        </w:rPr>
        <w:t>非煤矿山</w:t>
      </w:r>
      <w:r>
        <w:rPr>
          <w:rFonts w:hint="eastAsia" w:cs="Times New Roman"/>
          <w:b w:val="0"/>
          <w:bCs w:val="0"/>
          <w:kern w:val="2"/>
          <w:sz w:val="32"/>
          <w:szCs w:val="32"/>
          <w:lang w:val="en-US" w:eastAsia="zh-CN" w:bidi="ar-SA"/>
        </w:rPr>
        <w:t>企业</w:t>
      </w:r>
      <w:r>
        <w:rPr>
          <w:rFonts w:hint="eastAsia" w:ascii="Times New Roman" w:hAnsi="Times New Roman" w:eastAsia="仿宋_GB2312" w:cs="Times New Roman"/>
          <w:b w:val="0"/>
          <w:bCs w:val="0"/>
          <w:kern w:val="2"/>
          <w:sz w:val="32"/>
          <w:szCs w:val="32"/>
          <w:lang w:val="en-US" w:eastAsia="zh-CN" w:bidi="ar-SA"/>
        </w:rPr>
        <w:t>安全风险分为重大风险（1级）、较大风险（2级）、一般风险（3级）和低风险（4级），分别用红、橙、黄、蓝四种颜色标示</w:t>
      </w:r>
      <w:r>
        <w:rPr>
          <w:rFonts w:hint="eastAsia" w:cs="Times New Roman"/>
          <w:b w:val="0"/>
          <w:bCs w:val="0"/>
          <w:kern w:val="2"/>
          <w:sz w:val="32"/>
          <w:szCs w:val="32"/>
          <w:lang w:val="en-US" w:eastAsia="zh-CN" w:bidi="ar-SA"/>
        </w:rPr>
        <w:t>，如下表所示</w:t>
      </w:r>
      <w:r>
        <w:rPr>
          <w:rFonts w:hint="eastAsia" w:ascii="Times New Roman" w:hAnsi="Times New Roman" w:eastAsia="仿宋_GB2312" w:cs="Times New Roman"/>
          <w:b w:val="0"/>
          <w:bCs w:val="0"/>
          <w:kern w:val="2"/>
          <w:sz w:val="32"/>
          <w:szCs w:val="32"/>
          <w:lang w:val="en-US" w:eastAsia="zh-CN" w:bidi="ar-SA"/>
        </w:rPr>
        <w:t>。</w:t>
      </w:r>
    </w:p>
    <w:tbl>
      <w:tblPr>
        <w:tblStyle w:val="6"/>
        <w:tblW w:w="84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464"/>
        <w:gridCol w:w="2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序号</w:t>
            </w:r>
          </w:p>
        </w:tc>
        <w:tc>
          <w:tcPr>
            <w:tcW w:w="4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非煤矿山企业名称</w:t>
            </w:r>
          </w:p>
        </w:tc>
        <w:tc>
          <w:tcPr>
            <w:tcW w:w="26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风险等级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1</w:t>
            </w:r>
          </w:p>
        </w:tc>
        <w:tc>
          <w:tcPr>
            <w:tcW w:w="4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vertAlign w:val="baseline"/>
                <w:lang w:val="en-US" w:eastAsia="zh-CN"/>
              </w:rPr>
              <w:t>南阳市闽星石材股份有限公司唐河县马振抚</w:t>
            </w:r>
            <w:r>
              <w:rPr>
                <w:rFonts w:hint="eastAsia" w:ascii="仿宋_GB2312" w:hAnsi="仿宋_GB2312" w:cs="仿宋_GB2312"/>
                <w:b w:val="0"/>
                <w:bCs w:val="0"/>
                <w:sz w:val="24"/>
                <w:szCs w:val="24"/>
                <w:vertAlign w:val="baseline"/>
                <w:lang w:val="en-US" w:eastAsia="zh-CN"/>
              </w:rPr>
              <w:t>镇</w:t>
            </w:r>
            <w:r>
              <w:rPr>
                <w:rFonts w:hint="eastAsia" w:ascii="仿宋_GB2312" w:hAnsi="仿宋_GB2312" w:eastAsia="仿宋_GB2312" w:cs="仿宋_GB2312"/>
                <w:b w:val="0"/>
                <w:bCs w:val="0"/>
                <w:sz w:val="24"/>
                <w:szCs w:val="24"/>
                <w:vertAlign w:val="baseline"/>
                <w:lang w:val="en-US" w:eastAsia="zh-CN"/>
              </w:rPr>
              <w:t>前庄村大冲饰面用花岗岩矿</w:t>
            </w:r>
          </w:p>
        </w:tc>
        <w:tc>
          <w:tcPr>
            <w:tcW w:w="2662" w:type="dxa"/>
            <w:tcBorders>
              <w:tl2br w:val="nil"/>
              <w:tr2bl w:val="nil"/>
            </w:tcBorders>
            <w:shd w:val="clear" w:color="auto" w:fill="FF000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color w:val="FFFFFF" w:themeColor="background1"/>
                <w:sz w:val="24"/>
                <w:szCs w:val="24"/>
                <w:lang w:val="en-US" w:eastAsia="zh-CN"/>
                <w14:textFill>
                  <w14:solidFill>
                    <w14:schemeClr w14:val="bg1"/>
                  </w14:solidFill>
                </w14:textFill>
              </w:rPr>
              <w:t>1级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p>
        </w:tc>
        <w:tc>
          <w:tcPr>
            <w:tcW w:w="4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vertAlign w:val="baseline"/>
                <w:lang w:val="en-US" w:eastAsia="zh-CN"/>
              </w:rPr>
              <w:t>唐河泰隆水泥有限公司唐河县赵山水泥用石灰岩矿</w:t>
            </w:r>
          </w:p>
        </w:tc>
        <w:tc>
          <w:tcPr>
            <w:tcW w:w="2662" w:type="dxa"/>
            <w:tcBorders>
              <w:tl2br w:val="nil"/>
              <w:tr2bl w:val="nil"/>
            </w:tcBorders>
            <w:shd w:val="clear" w:color="auto" w:fill="FF000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color w:val="FFFFFF" w:themeColor="background1"/>
                <w:sz w:val="24"/>
                <w:szCs w:val="24"/>
                <w:lang w:val="en-US" w:eastAsia="zh-CN"/>
                <w14:textFill>
                  <w14:solidFill>
                    <w14:schemeClr w14:val="bg1"/>
                  </w14:solidFill>
                </w14:textFill>
              </w:rPr>
              <w:t>1级</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7059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Indent"/>
    <w:basedOn w:val="1"/>
    <w:next w:val="1"/>
    <w:semiHidden/>
    <w:unhideWhenUsed/>
    <w:qFormat/>
    <w:uiPriority w:val="99"/>
    <w:pPr>
      <w:spacing w:after="120" w:afterLines="0" w:afterAutospacing="0"/>
      <w:ind w:left="420" w:leftChars="200"/>
    </w:pPr>
  </w:style>
  <w:style w:type="paragraph" w:styleId="4">
    <w:name w:val="Body Text First Indent 2"/>
    <w:basedOn w:val="3"/>
    <w:next w:val="1"/>
    <w:semiHidden/>
    <w:unhideWhenUsed/>
    <w:qFormat/>
    <w:uiPriority w:val="99"/>
    <w:pPr>
      <w:ind w:firstLine="420" w:firstLineChars="200"/>
    </w:p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2024-03-26T03:04:16Z</dcterms:created>
  <dc:creator>Administrator</dc:creator>
  <cp:lastModifiedBy>闻风知露</cp:lastModifiedBy>
  <dcterms:modified xsi:type="dcterms:W3CDTF">2024-03-26T03:04:31Z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B21020F5A8164B7D805FAE814E9A538D_12</vt:lpwstr>
  </property>
</Properties>
</file>