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eastAsia" w:ascii="黑体" w:hAnsi="黑体" w:eastAsia="黑体" w:cs="黑体"/>
          <w:lang w:eastAsia="zh-CN"/>
        </w:rPr>
      </w:pPr>
      <w:r>
        <w:rPr>
          <w:rFonts w:hint="eastAsia" w:ascii="黑体" w:hAnsi="黑体" w:eastAsia="黑体" w:cs="黑体"/>
        </w:rPr>
        <w:t>附件</w:t>
      </w:r>
      <w:r>
        <w:rPr>
          <w:rFonts w:hint="eastAsia" w:ascii="黑体" w:hAnsi="黑体" w:eastAsia="黑体" w:cs="黑体"/>
          <w:lang w:val="en-US" w:eastAsia="zh-CN"/>
        </w:rPr>
        <w:t>2</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firstLine="0" w:firstLineChars="0"/>
        <w:jc w:val="center"/>
        <w:textAlignment w:val="auto"/>
        <w:rPr>
          <w:rFonts w:hint="eastAsia" w:ascii="黑体" w:hAnsi="黑体" w:eastAsia="黑体" w:cs="黑体"/>
          <w:b/>
          <w:bCs/>
          <w:i w:val="0"/>
          <w:snapToGrid/>
          <w:color w:val="000000"/>
          <w:kern w:val="2"/>
          <w:sz w:val="32"/>
          <w:szCs w:val="32"/>
          <w:highlight w:val="none"/>
          <w:u w:val="none"/>
          <w:lang w:val="en-US" w:eastAsia="zh-CN" w:bidi="ar-SA"/>
        </w:rPr>
      </w:pPr>
      <w:r>
        <w:rPr>
          <w:rFonts w:hint="eastAsia" w:ascii="黑体" w:hAnsi="黑体" w:eastAsia="黑体" w:cs="黑体"/>
          <w:b/>
          <w:bCs/>
          <w:i w:val="0"/>
          <w:snapToGrid/>
          <w:color w:val="000000"/>
          <w:kern w:val="2"/>
          <w:sz w:val="32"/>
          <w:szCs w:val="32"/>
          <w:highlight w:val="none"/>
          <w:u w:val="none"/>
          <w:lang w:val="en-US" w:eastAsia="zh-CN" w:bidi="ar-SA"/>
        </w:rPr>
        <w:t>唐河县非煤矿山企业清单</w:t>
      </w:r>
    </w:p>
    <w:tbl>
      <w:tblPr>
        <w:tblStyle w:val="3"/>
        <w:tblW w:w="8452" w:type="dxa"/>
        <w:tblInd w:w="-17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0"/>
        <w:gridCol w:w="1237"/>
        <w:gridCol w:w="897"/>
        <w:gridCol w:w="721"/>
        <w:gridCol w:w="750"/>
        <w:gridCol w:w="985"/>
        <w:gridCol w:w="883"/>
        <w:gridCol w:w="956"/>
        <w:gridCol w:w="16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5" w:hRule="atLeast"/>
          <w:tblHeader/>
        </w:trPr>
        <w:tc>
          <w:tcPr>
            <w:tcW w:w="42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序号</w:t>
            </w:r>
          </w:p>
        </w:tc>
        <w:tc>
          <w:tcPr>
            <w:tcW w:w="12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企业名称</w:t>
            </w:r>
          </w:p>
        </w:tc>
        <w:tc>
          <w:tcPr>
            <w:tcW w:w="8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位置</w:t>
            </w:r>
          </w:p>
        </w:tc>
        <w:tc>
          <w:tcPr>
            <w:tcW w:w="72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主要矿种</w:t>
            </w:r>
          </w:p>
        </w:tc>
        <w:tc>
          <w:tcPr>
            <w:tcW w:w="7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开采方式</w:t>
            </w:r>
          </w:p>
        </w:tc>
        <w:tc>
          <w:tcPr>
            <w:tcW w:w="98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储量</w:t>
            </w:r>
          </w:p>
        </w:tc>
        <w:tc>
          <w:tcPr>
            <w:tcW w:w="88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生产能力</w:t>
            </w:r>
          </w:p>
        </w:tc>
        <w:tc>
          <w:tcPr>
            <w:tcW w:w="95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val="en-US" w:eastAsia="zh-CN"/>
              </w:rPr>
              <w:t>负责人</w:t>
            </w:r>
          </w:p>
        </w:tc>
        <w:tc>
          <w:tcPr>
            <w:tcW w:w="160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10" w:hRule="atLeast"/>
        </w:trPr>
        <w:tc>
          <w:tcPr>
            <w:tcW w:w="4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w:t>
            </w:r>
          </w:p>
        </w:tc>
        <w:tc>
          <w:tcPr>
            <w:tcW w:w="12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南阳市闽星石材股份有限公司唐河县马振抚乡前庄村大冲饰面用花岗岩矿</w:t>
            </w:r>
          </w:p>
        </w:tc>
        <w:tc>
          <w:tcPr>
            <w:tcW w:w="89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唐河县马振抚乡前庄村大冲庄</w:t>
            </w:r>
          </w:p>
        </w:tc>
        <w:tc>
          <w:tcPr>
            <w:tcW w:w="72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饰面用花岗岩</w:t>
            </w:r>
          </w:p>
        </w:tc>
        <w:tc>
          <w:tcPr>
            <w:tcW w:w="7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露天</w:t>
            </w:r>
          </w:p>
        </w:tc>
        <w:tc>
          <w:tcPr>
            <w:tcW w:w="98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iCs w:val="0"/>
                <w:color w:val="000000"/>
                <w:kern w:val="0"/>
                <w:sz w:val="24"/>
                <w:szCs w:val="24"/>
                <w:highlight w:val="yellow"/>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26.9</w:t>
            </w:r>
            <w:r>
              <w:rPr>
                <w:rFonts w:hint="eastAsia" w:ascii="Times New Roman" w:hAnsi="Times New Roman" w:cs="Times New Roman"/>
                <w:i w:val="0"/>
                <w:iCs w:val="0"/>
                <w:color w:val="000000"/>
                <w:kern w:val="0"/>
                <w:sz w:val="24"/>
                <w:szCs w:val="24"/>
                <w:highlight w:val="none"/>
                <w:u w:val="none"/>
                <w:lang w:val="en-US" w:eastAsia="zh-CN" w:bidi="ar"/>
              </w:rPr>
              <w:t>万</w:t>
            </w:r>
            <w:r>
              <w:rPr>
                <w:rFonts w:hint="eastAsia" w:ascii="Times New Roman" w:hAnsi="Times New Roman" w:cs="Times New Roman"/>
                <w:i w:val="0"/>
                <w:iCs w:val="0"/>
                <w:color w:val="000000"/>
                <w:kern w:val="0"/>
                <w:sz w:val="24"/>
                <w:szCs w:val="24"/>
                <w:u w:val="none"/>
                <w:lang w:val="en-US" w:eastAsia="zh-CN" w:bidi="ar"/>
              </w:rPr>
              <w:t>m</w:t>
            </w:r>
            <w:r>
              <w:rPr>
                <w:rFonts w:hint="eastAsia" w:ascii="Times New Roman" w:hAnsi="Times New Roman" w:cs="Times New Roman"/>
                <w:i w:val="0"/>
                <w:iCs w:val="0"/>
                <w:color w:val="000000"/>
                <w:kern w:val="0"/>
                <w:sz w:val="24"/>
                <w:szCs w:val="24"/>
                <w:u w:val="none"/>
                <w:vertAlign w:val="superscript"/>
                <w:lang w:val="en-US" w:eastAsia="zh-CN" w:bidi="ar"/>
              </w:rPr>
              <w:t>3</w:t>
            </w:r>
          </w:p>
        </w:tc>
        <w:tc>
          <w:tcPr>
            <w:tcW w:w="8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1.1</w:t>
            </w:r>
            <w:r>
              <w:rPr>
                <w:rFonts w:hint="eastAsia" w:ascii="Times New Roman" w:hAnsi="Times New Roman" w:cs="Times New Roman"/>
                <w:i w:val="0"/>
                <w:iCs w:val="0"/>
                <w:color w:val="000000"/>
                <w:kern w:val="0"/>
                <w:sz w:val="24"/>
                <w:szCs w:val="24"/>
                <w:u w:val="none"/>
                <w:lang w:val="en-US" w:eastAsia="zh-CN" w:bidi="ar"/>
              </w:rPr>
              <w:t>万m</w:t>
            </w:r>
            <w:r>
              <w:rPr>
                <w:rFonts w:hint="eastAsia" w:ascii="Times New Roman" w:hAnsi="Times New Roman" w:cs="Times New Roman"/>
                <w:i w:val="0"/>
                <w:iCs w:val="0"/>
                <w:color w:val="000000"/>
                <w:kern w:val="0"/>
                <w:sz w:val="24"/>
                <w:szCs w:val="24"/>
                <w:u w:val="none"/>
                <w:vertAlign w:val="superscript"/>
                <w:lang w:val="en-US" w:eastAsia="zh-CN" w:bidi="ar"/>
              </w:rPr>
              <w:t>3</w:t>
            </w:r>
            <w:r>
              <w:rPr>
                <w:rFonts w:hint="eastAsia" w:ascii="Times New Roman" w:hAnsi="Times New Roman" w:cs="Times New Roman"/>
                <w:i w:val="0"/>
                <w:iCs w:val="0"/>
                <w:color w:val="000000"/>
                <w:kern w:val="0"/>
                <w:sz w:val="24"/>
                <w:szCs w:val="24"/>
                <w:u w:val="none"/>
                <w:lang w:val="en-US" w:eastAsia="zh-CN" w:bidi="ar"/>
              </w:rPr>
              <w:t>/年</w:t>
            </w:r>
          </w:p>
        </w:tc>
        <w:tc>
          <w:tcPr>
            <w:tcW w:w="9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许文教</w:t>
            </w:r>
          </w:p>
        </w:tc>
        <w:tc>
          <w:tcPr>
            <w:tcW w:w="16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13905950366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46" w:hRule="atLeast"/>
        </w:trPr>
        <w:tc>
          <w:tcPr>
            <w:tcW w:w="4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cs="Times New Roman"/>
                <w:i w:val="0"/>
                <w:iCs w:val="0"/>
                <w:color w:val="000000"/>
                <w:kern w:val="0"/>
                <w:sz w:val="24"/>
                <w:szCs w:val="24"/>
                <w:u w:val="none"/>
                <w:lang w:val="en-US" w:eastAsia="zh-CN" w:bidi="ar"/>
              </w:rPr>
              <w:t>2</w:t>
            </w:r>
          </w:p>
        </w:tc>
        <w:tc>
          <w:tcPr>
            <w:tcW w:w="12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唐河泰隆水泥有限公司唐河县赵山水泥用石灰岩矿</w:t>
            </w:r>
          </w:p>
        </w:tc>
        <w:tc>
          <w:tcPr>
            <w:tcW w:w="89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唐河县黑龙镇大杨庄村老窦冲</w:t>
            </w:r>
          </w:p>
        </w:tc>
        <w:tc>
          <w:tcPr>
            <w:tcW w:w="72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水泥用石灰岩</w:t>
            </w:r>
          </w:p>
        </w:tc>
        <w:tc>
          <w:tcPr>
            <w:tcW w:w="7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露天</w:t>
            </w:r>
          </w:p>
        </w:tc>
        <w:tc>
          <w:tcPr>
            <w:tcW w:w="98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iCs w:val="0"/>
                <w:color w:val="000000"/>
                <w:kern w:val="2"/>
                <w:sz w:val="24"/>
                <w:szCs w:val="24"/>
                <w:highlight w:val="yellow"/>
                <w:u w:val="none"/>
                <w:lang w:val="en-US" w:eastAsia="zh-CN" w:bidi="ar-SA"/>
              </w:rPr>
            </w:pPr>
            <w:r>
              <w:rPr>
                <w:rFonts w:hint="default" w:ascii="Times New Roman" w:hAnsi="Times New Roman" w:eastAsia="仿宋_GB2312" w:cs="Times New Roman"/>
                <w:i w:val="0"/>
                <w:iCs w:val="0"/>
                <w:color w:val="000000"/>
                <w:kern w:val="0"/>
                <w:sz w:val="24"/>
                <w:szCs w:val="24"/>
                <w:highlight w:val="none"/>
                <w:u w:val="none"/>
                <w:lang w:val="en-US" w:eastAsia="zh-CN" w:bidi="ar"/>
              </w:rPr>
              <w:t>658.78</w:t>
            </w:r>
            <w:r>
              <w:rPr>
                <w:rFonts w:hint="eastAsia" w:ascii="Times New Roman" w:hAnsi="Times New Roman" w:eastAsia="仿宋_GB2312" w:cs="Times New Roman"/>
                <w:i w:val="0"/>
                <w:iCs w:val="0"/>
                <w:color w:val="000000"/>
                <w:kern w:val="0"/>
                <w:sz w:val="24"/>
                <w:szCs w:val="24"/>
                <w:highlight w:val="none"/>
                <w:u w:val="none"/>
                <w:lang w:val="en-US" w:eastAsia="zh-CN" w:bidi="ar"/>
              </w:rPr>
              <w:t>万</w:t>
            </w:r>
            <w:r>
              <w:rPr>
                <w:rFonts w:hint="eastAsia" w:ascii="Times New Roman" w:hAnsi="Times New Roman" w:eastAsia="仿宋_GB2312" w:cs="Times New Roman"/>
                <w:i w:val="0"/>
                <w:iCs w:val="0"/>
                <w:color w:val="000000"/>
                <w:kern w:val="0"/>
                <w:sz w:val="24"/>
                <w:szCs w:val="24"/>
                <w:u w:val="none"/>
                <w:lang w:val="en-US" w:eastAsia="zh-CN" w:bidi="ar"/>
              </w:rPr>
              <w:t>吨</w:t>
            </w:r>
          </w:p>
        </w:tc>
        <w:tc>
          <w:tcPr>
            <w:tcW w:w="88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Times New Roman" w:hAnsi="Times New Roman" w:eastAsia="仿宋_GB2312" w:cs="Times New Roman"/>
                <w:i w:val="0"/>
                <w:iCs w:val="0"/>
                <w:color w:val="000000"/>
                <w:kern w:val="2"/>
                <w:sz w:val="24"/>
                <w:szCs w:val="24"/>
                <w:u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80</w:t>
            </w:r>
            <w:r>
              <w:rPr>
                <w:rFonts w:hint="eastAsia" w:ascii="Times New Roman" w:hAnsi="Times New Roman" w:eastAsia="仿宋_GB2312" w:cs="Times New Roman"/>
                <w:i w:val="0"/>
                <w:iCs w:val="0"/>
                <w:color w:val="000000"/>
                <w:kern w:val="0"/>
                <w:sz w:val="24"/>
                <w:szCs w:val="24"/>
                <w:u w:val="none"/>
                <w:lang w:val="en-US" w:eastAsia="zh-CN" w:bidi="ar"/>
              </w:rPr>
              <w:t>万吨</w:t>
            </w:r>
          </w:p>
        </w:tc>
        <w:tc>
          <w:tcPr>
            <w:tcW w:w="95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王文中</w:t>
            </w:r>
          </w:p>
        </w:tc>
        <w:tc>
          <w:tcPr>
            <w:tcW w:w="160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13782023605</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firstLine="0" w:firstLineChars="0"/>
        <w:jc w:val="both"/>
        <w:textAlignment w:val="auto"/>
        <w:rPr>
          <w:rFonts w:hint="eastAsia" w:ascii="黑体" w:hAnsi="黑体" w:eastAsia="黑体" w:cs="黑体"/>
          <w:b/>
          <w:bCs/>
          <w:i w:val="0"/>
          <w:snapToGrid/>
          <w:color w:val="000000"/>
          <w:kern w:val="2"/>
          <w:sz w:val="36"/>
          <w:szCs w:val="36"/>
          <w:highlight w:val="none"/>
          <w:u w:val="none"/>
          <w:lang w:val="en-US" w:eastAsia="zh-CN" w:bidi="ar-S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24180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60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3"/>
    <w:basedOn w:val="1"/>
    <w:next w:val="1"/>
    <w:semiHidden/>
    <w:unhideWhenUsed/>
    <w:qFormat/>
    <w:uiPriority w:val="9"/>
    <w:pPr>
      <w:keepNext/>
      <w:keepLines/>
      <w:spacing w:before="260" w:after="260" w:line="416" w:lineRule="atLeast"/>
      <w:outlineLvl w:val="2"/>
    </w:pPr>
    <w:rPr>
      <w:b/>
      <w:bCs/>
      <w:szCs w:val="32"/>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2024-03-26T03:04:02Z</dcterms:created>
  <dc:creator>Administrator</dc:creator>
  <cp:lastModifiedBy>闻风知露</cp:lastModifiedBy>
  <dcterms:modified xsi:type="dcterms:W3CDTF">2024-03-26T03:04:12Z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1047DD2EE67C42F58852A85F2650A06C_12</vt:lpwstr>
  </property>
</Properties>
</file>