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330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电动车号牌采购项目资金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绩效评价报告</w:t>
      </w:r>
    </w:p>
    <w:p>
      <w:pPr>
        <w:bidi w:val="0"/>
        <w:rPr>
          <w:rStyle w:val="5"/>
          <w:rFonts w:hint="eastAsia"/>
          <w:lang w:val="en-US" w:eastAsia="zh-CN"/>
        </w:rPr>
      </w:pP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为贯彻落实党中央、国务院关于全面实施预算绩效管理的决策部署，深化财税体制改革，优化财政资源配置，提高公共服务质量，加快建成全方位、全过程、全覆盖的预算绩效管理体系，县财政预算安排2022年公安局关于电动车号牌采购项目资金234.9万元。根据有关要求，现将2022年电动车号牌采购项目资金绩效自评如下：</w:t>
      </w:r>
    </w:p>
    <w:p>
      <w:pPr>
        <w:pStyle w:val="3"/>
        <w:bidi w:val="0"/>
        <w:spacing w:before="0" w:after="0" w:line="240" w:lineRule="auto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一、专项资金基本情况</w:t>
      </w:r>
    </w:p>
    <w:p>
      <w:pPr>
        <w:bidi w:val="0"/>
        <w:ind w:firstLine="600" w:firstLineChars="200"/>
        <w:rPr>
          <w:rStyle w:val="5"/>
          <w:rFonts w:hint="default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1、</w:t>
      </w:r>
      <w:r>
        <w:rPr>
          <w:rStyle w:val="5"/>
          <w:rFonts w:hint="default"/>
          <w:sz w:val="30"/>
          <w:szCs w:val="30"/>
          <w:lang w:val="en-US" w:eastAsia="zh-CN"/>
        </w:rPr>
        <w:t>项目概况</w:t>
      </w:r>
    </w:p>
    <w:p>
      <w:pPr>
        <w:bidi w:val="0"/>
        <w:ind w:firstLine="560" w:firstLineChars="200"/>
        <w:rPr>
          <w:rStyle w:val="5"/>
          <w:rFonts w:hint="default"/>
          <w:lang w:val="en-US" w:eastAsia="zh-CN"/>
        </w:rPr>
      </w:pPr>
      <w:r>
        <w:rPr>
          <w:rStyle w:val="5"/>
          <w:rFonts w:hint="default"/>
          <w:lang w:val="en-US" w:eastAsia="zh-CN"/>
        </w:rPr>
        <w:t>为规范城区非机动车秩序管理，根据国家市场监管总局、工信部、公安部《关于加强电动自行车国家标准实施监督的意见》、公安部《关于加强电动自行车安全管理工作的通知》、河南省公安交通警察总队《关于建立电动自行车登记管理制度的通知》要求，依据唐河县十五届政府第三十二次常务会议纪要《唐河县依法规范中心城区非机动车秩序专项行动实施方案》精神，对唐河县中心城区非机动车辆予以上牌。</w:t>
      </w:r>
    </w:p>
    <w:p>
      <w:pPr>
        <w:bidi w:val="0"/>
        <w:ind w:firstLine="600" w:firstLineChars="200"/>
        <w:rPr>
          <w:rStyle w:val="5"/>
          <w:rFonts w:hint="default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2、</w:t>
      </w:r>
      <w:r>
        <w:rPr>
          <w:rStyle w:val="5"/>
          <w:rFonts w:hint="default"/>
          <w:sz w:val="30"/>
          <w:szCs w:val="30"/>
          <w:lang w:val="en-US" w:eastAsia="zh-CN"/>
        </w:rPr>
        <w:t>项目资金情况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default"/>
          <w:lang w:val="en-US" w:eastAsia="zh-CN"/>
        </w:rPr>
        <w:t>项目预算安排234.9万、资金落实234.9万（全部为地方财政）、执行234.9万。</w:t>
      </w:r>
      <w:r>
        <w:rPr>
          <w:rStyle w:val="5"/>
          <w:rFonts w:hint="eastAsia"/>
          <w:lang w:val="en-US" w:eastAsia="zh-CN"/>
        </w:rPr>
        <w:t>分值10分，执行率100%，得分10分。</w:t>
      </w:r>
    </w:p>
    <w:p>
      <w:pPr>
        <w:bidi w:val="0"/>
        <w:ind w:firstLine="600" w:firstLineChars="200"/>
        <w:rPr>
          <w:rStyle w:val="5"/>
          <w:rFonts w:hint="eastAsia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3.资金管理情况</w:t>
      </w:r>
    </w:p>
    <w:p>
      <w:pPr>
        <w:numPr>
          <w:numId w:val="0"/>
        </w:numPr>
        <w:bidi w:val="0"/>
        <w:rPr>
          <w:rStyle w:val="5"/>
          <w:rFonts w:hint="default"/>
          <w:lang w:val="en-US" w:eastAsia="zh-CN"/>
        </w:rPr>
      </w:pPr>
      <w:r>
        <w:rPr>
          <w:rStyle w:val="5"/>
          <w:rFonts w:hint="eastAsia"/>
          <w:lang w:val="en-US" w:eastAsia="zh-CN"/>
        </w:rPr>
        <w:t xml:space="preserve">    从安排科学性、拨付合规性、使用规范性、预算绩效管理情况四方面，资金安排科学、拨付及时、使用合规、单位也及时完成绩效自评。分值20分，得分20分。</w:t>
      </w:r>
    </w:p>
    <w:p>
      <w:pPr>
        <w:bidi w:val="0"/>
        <w:ind w:firstLine="600" w:firstLineChars="200"/>
        <w:rPr>
          <w:rStyle w:val="5"/>
          <w:rFonts w:hint="default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4、</w:t>
      </w:r>
      <w:r>
        <w:rPr>
          <w:rStyle w:val="5"/>
          <w:rFonts w:hint="default"/>
          <w:sz w:val="30"/>
          <w:szCs w:val="30"/>
          <w:lang w:val="en-US" w:eastAsia="zh-CN"/>
        </w:rPr>
        <w:t>绩效目标</w:t>
      </w:r>
    </w:p>
    <w:p>
      <w:pPr>
        <w:bidi w:val="0"/>
        <w:ind w:firstLine="560" w:firstLineChars="200"/>
        <w:rPr>
          <w:rStyle w:val="5"/>
          <w:rFonts w:hint="default"/>
          <w:lang w:val="en-US" w:eastAsia="zh-CN"/>
        </w:rPr>
      </w:pPr>
      <w:r>
        <w:rPr>
          <w:rStyle w:val="5"/>
          <w:rFonts w:hint="default"/>
          <w:lang w:val="en-US" w:eastAsia="zh-CN"/>
        </w:rPr>
        <w:t>规范中心城区非机动车秩序、提升城市管理水平、改善城区交通秩序、保障群众安全出行。</w:t>
      </w:r>
    </w:p>
    <w:p>
      <w:pPr>
        <w:pStyle w:val="3"/>
        <w:bidi w:val="0"/>
        <w:spacing w:before="0" w:after="0" w:line="240" w:lineRule="auto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二、评价工作简述</w:t>
      </w:r>
    </w:p>
    <w:p>
      <w:pPr>
        <w:bidi w:val="0"/>
        <w:ind w:firstLine="600" w:firstLineChars="200"/>
        <w:rPr>
          <w:rStyle w:val="5"/>
          <w:rFonts w:hint="eastAsia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1、基本情况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(1)评价目的：通过绩效评价，进一步规范项目支出资金的管理和使用，及时发现和分析存在的问题，从而提高财政资金的使用效率。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(2)评价原则：以统一领导、分类管理、客观公正、科学规范、实事求是、结果公开为原则。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(3)评价方法：领导小组进行自评，采取询问查证、问卷调查相结合的方法，确保数据完整准确。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(4)评价指标体系：采用三级递阶层次结构，一级指标规定绩效难度，二级指标规定评价内容，三级指标规定评价要素。</w:t>
      </w:r>
    </w:p>
    <w:p>
      <w:pPr>
        <w:bidi w:val="0"/>
        <w:ind w:firstLine="600" w:firstLineChars="200"/>
        <w:rPr>
          <w:rStyle w:val="5"/>
          <w:rFonts w:hint="eastAsia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2、评价组织实施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组织实施完成情况较好。</w:t>
      </w:r>
    </w:p>
    <w:p>
      <w:pPr>
        <w:pStyle w:val="3"/>
        <w:bidi w:val="0"/>
        <w:spacing w:before="0" w:after="0" w:line="240" w:lineRule="auto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三、绩效评价分析</w:t>
      </w:r>
    </w:p>
    <w:p>
      <w:pPr>
        <w:bidi w:val="0"/>
        <w:ind w:firstLine="600" w:firstLineChars="200"/>
        <w:rPr>
          <w:rStyle w:val="5"/>
          <w:rFonts w:hint="eastAsia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1、项目绩效目标评价分析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绩效目标具有明确性、合理性，目标细化到位。</w:t>
      </w:r>
    </w:p>
    <w:p>
      <w:pPr>
        <w:bidi w:val="0"/>
        <w:ind w:firstLine="600" w:firstLineChars="200"/>
        <w:rPr>
          <w:rStyle w:val="5"/>
          <w:rFonts w:hint="eastAsia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2、资金使用及管理情况分析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项目资金严格按照资金管理要求进行管理。一是专款专用；二是资金支出履行严格的审批程序。</w:t>
      </w:r>
    </w:p>
    <w:p>
      <w:pPr>
        <w:bidi w:val="0"/>
        <w:ind w:firstLine="600" w:firstLineChars="200"/>
        <w:rPr>
          <w:rStyle w:val="5"/>
          <w:rFonts w:hint="eastAsia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3、项目组织情况分析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项目无调整，完成情况良好。</w:t>
      </w:r>
    </w:p>
    <w:p>
      <w:pPr>
        <w:bidi w:val="0"/>
        <w:ind w:firstLine="600" w:firstLineChars="200"/>
        <w:rPr>
          <w:rStyle w:val="5"/>
          <w:rFonts w:hint="eastAsia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4、项目管理情况分析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一是多部门联动。由督察、审计、后勤各警种结合，对项目资金使用的合规性、规范性和有效性进行检查。二是全过程监督。在项目开展过程中，通过事前审查、事中督查、事后验收的方式确保各项内容落到实处，保证资金使用合理。</w:t>
      </w:r>
    </w:p>
    <w:p>
      <w:pPr>
        <w:bidi w:val="0"/>
        <w:ind w:firstLine="600" w:firstLineChars="200"/>
        <w:rPr>
          <w:rStyle w:val="5"/>
          <w:rFonts w:hint="eastAsia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5、项目产出及效果评价分析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（1）项目数量指标情况。电动车牌号码数量24万套，电动车号码管理平台及服务器1套。执行过程中，严格按照财务管理制度执行，实行统一管理，专款专用，严格程序，合理安排。分值10分，得分10分。</w:t>
      </w:r>
    </w:p>
    <w:p>
      <w:pPr>
        <w:bidi w:val="0"/>
        <w:ind w:firstLine="560" w:firstLineChars="200"/>
        <w:rPr>
          <w:rStyle w:val="5"/>
          <w:rFonts w:hint="default"/>
          <w:lang w:val="en-US" w:eastAsia="zh-CN"/>
        </w:rPr>
      </w:pPr>
      <w:r>
        <w:rPr>
          <w:rStyle w:val="5"/>
          <w:rFonts w:hint="eastAsia"/>
          <w:lang w:val="en-US" w:eastAsia="zh-CN"/>
        </w:rPr>
        <w:t>（2）项目质量指标情况。电动车牌号码数量24万套和电动车号码管理平台及服务器1套，都已投入使用，严格程序，合理安排。分值20分，得分20分。</w:t>
      </w:r>
    </w:p>
    <w:p>
      <w:pPr>
        <w:bidi w:val="0"/>
        <w:ind w:firstLine="560" w:firstLineChars="200"/>
        <w:rPr>
          <w:rStyle w:val="5"/>
          <w:rFonts w:hint="default"/>
          <w:lang w:val="en-US" w:eastAsia="zh-CN"/>
        </w:rPr>
      </w:pPr>
      <w:r>
        <w:rPr>
          <w:rStyle w:val="5"/>
          <w:rFonts w:hint="eastAsia"/>
          <w:lang w:val="en-US" w:eastAsia="zh-CN"/>
        </w:rPr>
        <w:t>（3）项目时效性指标情况。按照2022年时间进度及内容所需资金需求进行，到2022年7月完成预期工作目标，项目最终执行率达到100%。分值10分，得分10分。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（4）项目社会效益指标情况。为规范城区非机动车秩序化，改善城区交通秩序，有待进一步提升。分值10分，得分9分。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（5）项目可持续性指标情况。为提升城市管理水平，有待进一步提升具有可持续性。分值15分，得分13分。</w:t>
      </w:r>
    </w:p>
    <w:p>
      <w:pPr>
        <w:bidi w:val="0"/>
        <w:ind w:firstLine="560" w:firstLineChars="200"/>
        <w:rPr>
          <w:rStyle w:val="5"/>
          <w:rFonts w:hint="default"/>
          <w:lang w:val="en-US" w:eastAsia="zh-CN"/>
        </w:rPr>
      </w:pPr>
      <w:r>
        <w:rPr>
          <w:rStyle w:val="5"/>
          <w:rFonts w:hint="eastAsia"/>
          <w:lang w:val="en-US" w:eastAsia="zh-CN"/>
        </w:rPr>
        <w:t>（6）项目满意度指标情况。服务对象满意度指标需≥90%，实际群众满意度99%，有待进一步提升。分值5分，得分4分。</w:t>
      </w:r>
    </w:p>
    <w:p>
      <w:pPr>
        <w:pStyle w:val="3"/>
        <w:bidi w:val="0"/>
        <w:spacing w:before="0" w:after="0" w:line="240" w:lineRule="auto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四、评价结论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项目总体上达到既定目标，项目评价总得分96分，评价等级为好</w:t>
      </w:r>
      <w:bookmarkStart w:id="0" w:name="_GoBack"/>
      <w:bookmarkEnd w:id="0"/>
      <w:r>
        <w:rPr>
          <w:rStyle w:val="5"/>
          <w:rFonts w:hint="eastAsia"/>
          <w:lang w:val="en-US" w:eastAsia="zh-CN"/>
        </w:rPr>
        <w:t>。</w:t>
      </w:r>
    </w:p>
    <w:p>
      <w:pPr>
        <w:pStyle w:val="3"/>
        <w:bidi w:val="0"/>
        <w:spacing w:before="0" w:after="0" w:line="240" w:lineRule="auto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五、主要经验及做法</w:t>
      </w:r>
    </w:p>
    <w:p>
      <w:pPr>
        <w:bidi w:val="0"/>
        <w:ind w:firstLine="560" w:firstLineChars="200"/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一是领导重视。单位领导高度重视，认真研究，相应成立了领导小组。二是管理规范。建立了项目管理方法、项目资金管理办法等各项有关制度，严格制度的执行，强化监督检查。三是专款专用，确保专项资金项目有效实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OGNmMmMxYTFmNTJiNWE3Njk1ODA5MzRkOGQ5ZDkifQ=="/>
  </w:docVars>
  <w:rsids>
    <w:rsidRoot w:val="2FB56A00"/>
    <w:rsid w:val="1A044EE3"/>
    <w:rsid w:val="2FB5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uiPriority w:val="0"/>
    <w:rPr>
      <w:rFonts w:ascii="Calibri" w:hAnsi="Calibri" w:eastAsia="华文仿宋"/>
      <w:sz w:val="28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2023-11-20T02:57:00Z</dcterms:created>
  <dc:creator>一</dc:creator>
  <cp:lastModifiedBy>一</cp:lastModifiedBy>
  <dcterms:modified xsi:type="dcterms:W3CDTF">2023-11-28T03:03:14Z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F3D1EA996E3F44DEBC449FA505B57DA8_11</vt:lpwstr>
  </property>
</Properties>
</file>