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建筑物类补偿标准</w:t>
      </w:r>
    </w:p>
    <w:tbl>
      <w:tblPr>
        <w:tblStyle w:val="4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211"/>
        <w:gridCol w:w="850"/>
        <w:gridCol w:w="1276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建筑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  <w:lang w:eastAsia="zh-CN"/>
              </w:rPr>
              <w:t>物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类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现状结构特征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标准（元）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瓦房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土木结构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380</w:t>
            </w:r>
          </w:p>
        </w:tc>
        <w:tc>
          <w:tcPr>
            <w:tcW w:w="3515" w:type="dxa"/>
            <w:shd w:val="clear" w:color="000000" w:fill="FFFFFF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土坯或夯实（半砖）墙、瓦顶；外墙三面土墙，有部分砌墙砌石、屋顶主体较高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砖木结构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500-600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全砖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eastAsia="zh-CN"/>
              </w:rPr>
              <w:t>实墙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、瓦顶；204墙砖，木楞条承重，小青瓦或机制瓦屋面，木门窗，内外墙批灰，层高3.5米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下，2.4米以上，局部刮腻子，水电设施到位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平房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砖混结构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700-800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全砖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实墙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、预制或现浇顶；240砖墙，铁门或防盗门，铝合金窗，装防盗网或防盗窗，内墙及天棚刮腻子，地面铺瓷砖，外墙面为干粘石、马赛克或条砖，层高3.5米以下，2.9米以上，水电设施到位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楼房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砖混结构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800-900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全砖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实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墙、预制或混凝土板顶（含抗震柱）；全砖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实墙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、预制或现浇顶；240砖墙，铁门或防盗门，铝合金窗，装防盗网或防盗窗，内墙及天棚刮腻子，地面铺瓷砖，外墙面为干粘石、马赛克或条砖，层高3.5米以下，2.9米以上，水电设施到位。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全框架结构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lang w:val="en-US" w:eastAsia="zh-CN"/>
              </w:rPr>
              <w:t>1100-1200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预制或混凝土板顶、全部承重为钢筋混凝土结构；现浇混凝土楼板地面，铁门或防盗门。铝合金窗装防盗网或防盗窗，外墙面及天棚刮腻子，地面铺瓷砖，外墙面为干粘石、马赛克或条砖，层高3.5米以下，2.9米以上，水电设施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厂房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石棉瓦、彩钢瓦顶、全砖墙、木屋架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460</w:t>
            </w:r>
          </w:p>
        </w:tc>
        <w:tc>
          <w:tcPr>
            <w:tcW w:w="3515" w:type="dxa"/>
            <w:vMerge w:val="restar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檐高4米以上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空心板顶，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全砖墙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530</w:t>
            </w:r>
          </w:p>
        </w:tc>
        <w:tc>
          <w:tcPr>
            <w:tcW w:w="3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钢构车间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1000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檐高6米以上，包含钢吊车梁或航吊、钢柱等配套设施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彩板房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一层或二层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lang w:val="en-US" w:eastAsia="zh-CN"/>
              </w:rPr>
              <w:t>150-180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单层压型钢板为下限，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彩色钢板覆面聚乙烯泡沫夹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芯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复合板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为上限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简易房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石棉瓦、彩钢瓦、油毡顶、全砖砌墙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泥砌、一二墙减半，特征石棉瓦，门窗完好，檐高2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简易棚</w:t>
            </w: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石棉瓦、油毡顶、两道墙（含两道墙）以上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108-144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檐高2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石棉瓦、彩钢瓦油毡顶、两道墙（含两道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围挡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墙）以上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51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砖砌柱、钢管及型材管立柱支撑，有围挡按上限，无围挡按下限，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檐高2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以上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rPr>
          <w:rFonts w:ascii="仿宋" w:hAnsi="仿宋" w:eastAsia="仿宋"/>
          <w:sz w:val="24"/>
          <w:szCs w:val="24"/>
        </w:rPr>
        <w:sectPr>
          <w:pgSz w:w="11906" w:h="16838"/>
          <w:pgMar w:top="1701" w:right="1417" w:bottom="1701" w:left="1417" w:header="851" w:footer="1247" w:gutter="0"/>
          <w:pgNumType w:fmt="numberInDash"/>
          <w:cols w:space="425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备注：房屋拆迁补偿时，中心城区内和中心城区外参照本标准结合地区实际情况实施。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52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2023-10-07T03:12:12Z</dcterms:created>
  <dc:creator>Administrator</dc:creator>
  <cp:lastModifiedBy>闻风知露</cp:lastModifiedBy>
  <dcterms:modified xsi:type="dcterms:W3CDTF">2023-10-07T03:12:29Z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7D7B24AEDD5C40579949BDAC77A434BB_12</vt:lpwstr>
  </property>
</Properties>
</file>