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唐河县2023年绿色种养循环农业试点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效果监测方案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一、监测目的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监测绿色种养循环、粪肥施用在增产增收、提质增效、化肥减量、地力培肥等方面的作用，为科学评价试点实施效果、探索绿色种养循环模式提供数据支撑。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二、监测点布设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（一）监测点数量。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综合考虑我县选用实施地块的农作物为小麦，按照每种农作物、每种技术模式至少布设3个监测点，设定监测点数20个。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（二）地块选择。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综合考虑土壤类型、耕作制度、地力水平、环境状况、管理水平等因素，将监测点设在有代表性的地块上，确保监测点稳定性和监测数据的连续性。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（三）小区设置。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1.处理设置。每个监测点分别设置常规施肥与绿色种养循环技术模式2个处理。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2.小区面积。每个处理小区面积不低于20平方米。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（四）监测周期。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大田作物监测周期为整个生育期。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三、监测内容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（一）前期调查。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包括土壤理化性状（土壤有机质含量、全氮、碱解氮、全磷、有效磷、全钾、速效钾、pH、土壤阳离子交换量、容重、汞、砷、铅、镉、铬等）和肥料施用情况。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（二）监测记录。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包括作物种类、收获期、灌排配套、自然和人为因素等基本情况，病虫害发生及防治、自然灾害及应对等田间管理情况，各种处理的肥料品种、养分含量、施肥时期、施肥次数、施用方式等施肥情况。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lang w:val="en-US" w:eastAsia="zh-CN"/>
        </w:rPr>
        <w:t>（三）计产和测试。</w:t>
      </w: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包括计产（各小区单独收获计产）、土样分析测试（土壤有机质含量、全氮、碱解氮、全磷、有效磷、全钾、速效钾、pH、土壤阳离子交换量、容重、汞、砷、铅、镉、铬等）和品质分析测试。品质分析指标根据实际情况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四、结果分析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lang w:val="en-US" w:eastAsia="zh-CN"/>
        </w:rPr>
        <w:t>包括化肥施用减少量、有机肥增施量、消纳畜禽粪便量和有机肥替代化肥比例、土壤理化性状变化、农作物产量、投入与效益分析等。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9B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2023-09-28T02:05:57Z</dcterms:created>
  <dc:creator>Administrator</dc:creator>
  <cp:lastModifiedBy>闻风知露</cp:lastModifiedBy>
  <dcterms:modified xsi:type="dcterms:W3CDTF">2023-09-28T02:06:18Z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86EFE3FB742D4FEB8B21E25B4F1FCE05_12</vt:lpwstr>
  </property>
</Properties>
</file>