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公文小标宋" w:hAnsi="方正公文小标宋" w:eastAsia="方正公文小标宋" w:cs="方正公文小标宋"/>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唐河县</w:t>
      </w:r>
      <w:r>
        <w:rPr>
          <w:rFonts w:hint="default" w:ascii="方正小标宋简体" w:hAnsi="方正小标宋简体" w:eastAsia="方正小标宋简体" w:cs="方正小标宋简体"/>
          <w:b w:val="0"/>
          <w:bCs w:val="0"/>
          <w:sz w:val="44"/>
          <w:szCs w:val="44"/>
          <w:lang w:val="en" w:eastAsia="zh-CN"/>
        </w:rPr>
        <w:t>2023</w:t>
      </w:r>
      <w:r>
        <w:rPr>
          <w:rFonts w:hint="eastAsia" w:ascii="方正小标宋简体" w:hAnsi="方正小标宋简体" w:eastAsia="方正小标宋简体" w:cs="方正小标宋简体"/>
          <w:b w:val="0"/>
          <w:bCs w:val="0"/>
          <w:sz w:val="44"/>
          <w:szCs w:val="44"/>
          <w:lang w:val="en" w:eastAsia="zh-CN"/>
        </w:rPr>
        <w:t>年</w:t>
      </w:r>
      <w:r>
        <w:rPr>
          <w:rFonts w:hint="eastAsia" w:ascii="方正小标宋简体" w:hAnsi="方正小标宋简体" w:eastAsia="方正小标宋简体" w:cs="方正小标宋简体"/>
          <w:b w:val="0"/>
          <w:bCs w:val="0"/>
          <w:sz w:val="44"/>
          <w:szCs w:val="44"/>
          <w:lang w:val="en-US" w:eastAsia="zh-CN"/>
        </w:rPr>
        <w:t>绿色种养循环农业试点试验方案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一、试验设计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试验采用定位方法进行，试验研究不同绿色种养方法，设5个处理：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T1：对照（不施肥）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T2：常规施肥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T3：优化施肥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T4：15%有机肥+85%化肥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T5：30%有机肥+70%化肥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lang w:val="en-US" w:eastAsia="zh-CN"/>
        </w:rPr>
        <w:t>每个处理至少设3个重复。小区采用随机区组排列，区组内土壤、地形等条件保持相对一致。大田作物可增加以氮为基础的替代处理。有条件的区域可增加有机肥替代氮、磷、钾肥梯度处理。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center"/>
        <w:textAlignment w:val="auto"/>
        <w:rPr>
          <w:rFonts w:hint="eastAsia" w:ascii="仿宋_GB2312" w:hAnsi="仿宋_GB2312" w:eastAsia="仿宋_GB2312" w:cs="仿宋_GB2312"/>
          <w:sz w:val="32"/>
          <w:lang w:val="en-US" w:eastAsia="zh-CN"/>
        </w:rPr>
      </w:pPr>
      <w:r>
        <w:rPr>
          <w:rFonts w:hint="eastAsia" w:ascii="方正仿宋简体" w:hAnsi="方正仿宋简体" w:eastAsia="方正仿宋简体" w:cs="方正仿宋简体"/>
          <w:b/>
          <w:bCs/>
          <w:sz w:val="32"/>
          <w:lang w:val="en-US" w:eastAsia="zh-CN"/>
        </w:rPr>
        <w:t>绿色种养循环农业试点试验处理表</w:t>
      </w:r>
    </w:p>
    <w:tbl>
      <w:tblPr>
        <w:tblStyle w:val="2"/>
        <w:tblW w:w="5072"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730"/>
        <w:gridCol w:w="1845"/>
        <w:gridCol w:w="1774"/>
        <w:gridCol w:w="1150"/>
        <w:gridCol w:w="1384"/>
        <w:gridCol w:w="15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00" w:type="dxa"/>
            <w:vMerge w:val="restart"/>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处理</w:t>
            </w:r>
          </w:p>
        </w:tc>
        <w:tc>
          <w:tcPr>
            <w:tcW w:w="2095" w:type="dxa"/>
            <w:vMerge w:val="restart"/>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实验内容</w:t>
            </w:r>
          </w:p>
        </w:tc>
        <w:tc>
          <w:tcPr>
            <w:tcW w:w="1928" w:type="dxa"/>
            <w:vMerge w:val="restart"/>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有机肥</w:t>
            </w:r>
          </w:p>
        </w:tc>
        <w:tc>
          <w:tcPr>
            <w:tcW w:w="4376" w:type="dxa"/>
            <w:gridSpan w:val="3"/>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化肥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rPr>
        <w:tc>
          <w:tcPr>
            <w:tcW w:w="800" w:type="dxa"/>
            <w:vMerge w:val="continue"/>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center"/>
              <w:textAlignment w:val="auto"/>
              <w:rPr>
                <w:rFonts w:hint="eastAsia" w:ascii="黑体" w:hAnsi="黑体" w:eastAsia="黑体" w:cs="黑体"/>
                <w:sz w:val="28"/>
                <w:szCs w:val="28"/>
                <w:lang w:val="en-US" w:eastAsia="zh-CN"/>
              </w:rPr>
            </w:pPr>
          </w:p>
        </w:tc>
        <w:tc>
          <w:tcPr>
            <w:tcW w:w="2095" w:type="dxa"/>
            <w:vMerge w:val="continue"/>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center"/>
              <w:textAlignment w:val="auto"/>
              <w:rPr>
                <w:rFonts w:hint="eastAsia" w:ascii="黑体" w:hAnsi="黑体" w:eastAsia="黑体" w:cs="黑体"/>
                <w:sz w:val="28"/>
                <w:szCs w:val="28"/>
                <w:lang w:val="en-US" w:eastAsia="zh-CN"/>
              </w:rPr>
            </w:pPr>
          </w:p>
        </w:tc>
        <w:tc>
          <w:tcPr>
            <w:tcW w:w="1928" w:type="dxa"/>
            <w:vMerge w:val="continue"/>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center"/>
              <w:textAlignment w:val="auto"/>
              <w:rPr>
                <w:rFonts w:hint="eastAsia" w:ascii="黑体" w:hAnsi="黑体" w:eastAsia="黑体" w:cs="黑体"/>
                <w:sz w:val="28"/>
                <w:szCs w:val="28"/>
                <w:lang w:val="en-US" w:eastAsia="zh-CN"/>
              </w:rPr>
            </w:pPr>
          </w:p>
        </w:tc>
        <w:tc>
          <w:tcPr>
            <w:tcW w:w="120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氮肥</w:t>
            </w:r>
          </w:p>
        </w:tc>
        <w:tc>
          <w:tcPr>
            <w:tcW w:w="148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磷肥</w:t>
            </w:r>
          </w:p>
        </w:tc>
        <w:tc>
          <w:tcPr>
            <w:tcW w:w="1687"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钾肥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8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1</w:t>
            </w:r>
          </w:p>
        </w:tc>
        <w:tc>
          <w:tcPr>
            <w:tcW w:w="209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空白对照</w:t>
            </w:r>
          </w:p>
        </w:tc>
        <w:tc>
          <w:tcPr>
            <w:tcW w:w="1928"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0</w:t>
            </w:r>
          </w:p>
        </w:tc>
        <w:tc>
          <w:tcPr>
            <w:tcW w:w="120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0</w:t>
            </w:r>
          </w:p>
        </w:tc>
        <w:tc>
          <w:tcPr>
            <w:tcW w:w="148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0</w:t>
            </w:r>
          </w:p>
        </w:tc>
        <w:tc>
          <w:tcPr>
            <w:tcW w:w="1687"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2</w:t>
            </w:r>
          </w:p>
        </w:tc>
        <w:tc>
          <w:tcPr>
            <w:tcW w:w="209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常规施肥</w:t>
            </w:r>
          </w:p>
        </w:tc>
        <w:tc>
          <w:tcPr>
            <w:tcW w:w="1928"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0</w:t>
            </w:r>
          </w:p>
        </w:tc>
        <w:tc>
          <w:tcPr>
            <w:tcW w:w="4376" w:type="dxa"/>
            <w:gridSpan w:val="3"/>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农户常规施肥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（本区域施肥平均水平）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55" w:hRule="atLeast"/>
        </w:trPr>
        <w:tc>
          <w:tcPr>
            <w:tcW w:w="8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3</w:t>
            </w:r>
          </w:p>
        </w:tc>
        <w:tc>
          <w:tcPr>
            <w:tcW w:w="2095"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化肥优化施肥</w:t>
            </w:r>
          </w:p>
        </w:tc>
        <w:tc>
          <w:tcPr>
            <w:tcW w:w="1928"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both"/>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0</w:t>
            </w:r>
          </w:p>
        </w:tc>
        <w:tc>
          <w:tcPr>
            <w:tcW w:w="120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N</w:t>
            </w:r>
          </w:p>
        </w:tc>
        <w:tc>
          <w:tcPr>
            <w:tcW w:w="148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P</w:t>
            </w:r>
          </w:p>
        </w:tc>
        <w:tc>
          <w:tcPr>
            <w:tcW w:w="1687"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K</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5" w:hRule="atLeast"/>
        </w:trPr>
        <w:tc>
          <w:tcPr>
            <w:tcW w:w="8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4</w:t>
            </w:r>
          </w:p>
        </w:tc>
        <w:tc>
          <w:tcPr>
            <w:tcW w:w="2095" w:type="dxa"/>
            <w:vMerge w:val="restart"/>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有机无机配施</w:t>
            </w:r>
          </w:p>
        </w:tc>
        <w:tc>
          <w:tcPr>
            <w:tcW w:w="1928"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M替代15%N</w:t>
            </w:r>
          </w:p>
        </w:tc>
        <w:tc>
          <w:tcPr>
            <w:tcW w:w="120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85%N</w:t>
            </w:r>
          </w:p>
        </w:tc>
        <w:tc>
          <w:tcPr>
            <w:tcW w:w="148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P-PM</w:t>
            </w:r>
          </w:p>
        </w:tc>
        <w:tc>
          <w:tcPr>
            <w:tcW w:w="1687"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K-KM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800"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5</w:t>
            </w:r>
          </w:p>
        </w:tc>
        <w:tc>
          <w:tcPr>
            <w:tcW w:w="2095" w:type="dxa"/>
            <w:vMerge w:val="continue"/>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firstLine="560" w:firstLineChars="200"/>
              <w:jc w:val="center"/>
              <w:textAlignment w:val="auto"/>
              <w:rPr>
                <w:rFonts w:hint="eastAsia" w:ascii="方正仿宋简体" w:hAnsi="方正仿宋简体" w:eastAsia="方正仿宋简体" w:cs="方正仿宋简体"/>
                <w:sz w:val="28"/>
                <w:szCs w:val="28"/>
                <w:lang w:val="en-US" w:eastAsia="zh-CN"/>
              </w:rPr>
            </w:pPr>
          </w:p>
        </w:tc>
        <w:tc>
          <w:tcPr>
            <w:tcW w:w="1928"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M替代30%N</w:t>
            </w:r>
          </w:p>
        </w:tc>
        <w:tc>
          <w:tcPr>
            <w:tcW w:w="1203"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70%N</w:t>
            </w:r>
          </w:p>
        </w:tc>
        <w:tc>
          <w:tcPr>
            <w:tcW w:w="1486"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P-PM</w:t>
            </w:r>
          </w:p>
        </w:tc>
        <w:tc>
          <w:tcPr>
            <w:tcW w:w="1687" w:type="dxa"/>
            <w:tcBorders>
              <w:top w:val="outset" w:color="000000" w:sz="6" w:space="0"/>
              <w:left w:val="outset" w:color="000000" w:sz="6" w:space="0"/>
              <w:bottom w:val="outset" w:color="000000" w:sz="6" w:space="0"/>
              <w:right w:val="outset" w:color="000000" w:sz="6"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方正仿宋简体" w:hAnsi="方正仿宋简体" w:eastAsia="方正仿宋简体" w:cs="方正仿宋简体"/>
                <w:sz w:val="28"/>
                <w:szCs w:val="28"/>
                <w:lang w:val="en-US" w:eastAsia="zh-CN"/>
              </w:rPr>
            </w:pPr>
            <w:r>
              <w:rPr>
                <w:rFonts w:hint="eastAsia" w:ascii="方正仿宋简体" w:hAnsi="方正仿宋简体" w:eastAsia="方正仿宋简体" w:cs="方正仿宋简体"/>
                <w:sz w:val="28"/>
                <w:szCs w:val="28"/>
                <w:lang w:val="en-US" w:eastAsia="zh-CN"/>
              </w:rPr>
              <w:t>K-KM</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lang w:val="en-US" w:eastAsia="zh-CN"/>
        </w:rPr>
      </w:pPr>
      <w:r>
        <w:rPr>
          <w:rFonts w:hint="eastAsia" w:ascii="方正仿宋简体" w:hAnsi="方正仿宋简体" w:eastAsia="方正仿宋简体" w:cs="方正仿宋简体"/>
          <w:sz w:val="32"/>
          <w:lang w:val="en-US" w:eastAsia="zh-CN"/>
        </w:rPr>
        <w:t>注：表中“M”代表有机肥；“N”“P”“K”分别代表化肥优化的氮肥、磷肥、钾肥用量；“PM”“KM”分别代表有机肥磷和钾用量。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sz w:val="32"/>
          <w:lang w:val="en-US" w:eastAsia="zh-CN"/>
        </w:rPr>
      </w:pPr>
      <w:r>
        <w:rPr>
          <w:rFonts w:hint="eastAsia" w:ascii="黑体" w:hAnsi="黑体" w:eastAsia="黑体" w:cs="黑体"/>
          <w:sz w:val="32"/>
          <w:lang w:val="en-US" w:eastAsia="zh-CN"/>
        </w:rPr>
        <w:t>三、试验实施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楷体简体" w:hAnsi="方正楷体简体" w:eastAsia="方正楷体简体" w:cs="方正楷体简体"/>
          <w:b w:val="0"/>
          <w:bCs w:val="0"/>
          <w:sz w:val="32"/>
          <w:lang w:val="en-US" w:eastAsia="zh-CN"/>
        </w:rPr>
        <w:t>（一）试验地选择。</w:t>
      </w:r>
      <w:r>
        <w:rPr>
          <w:rFonts w:hint="eastAsia" w:ascii="方正仿宋简体" w:hAnsi="方正仿宋简体" w:eastAsia="方正仿宋简体" w:cs="方正仿宋简体"/>
          <w:sz w:val="32"/>
          <w:lang w:val="en-US" w:eastAsia="zh-CN"/>
        </w:rPr>
        <w:t>试验地应选择平坦、齐整、肥力均匀、有代表性的地块，遇坡地时应选择坡度平缓、肥力差异较小的地块。避开道路、堆肥场所或前期施用大量有机肥、秸秆集中还田和有土传病害的地块。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楷体简体" w:hAnsi="方正楷体简体" w:eastAsia="方正楷体简体" w:cs="方正楷体简体"/>
          <w:b w:val="0"/>
          <w:bCs w:val="0"/>
          <w:sz w:val="32"/>
          <w:lang w:val="en-US" w:eastAsia="zh-CN"/>
        </w:rPr>
        <w:t>（二）试验地准备。</w:t>
      </w:r>
      <w:r>
        <w:rPr>
          <w:rFonts w:hint="eastAsia" w:ascii="方正仿宋简体" w:hAnsi="方正仿宋简体" w:eastAsia="方正仿宋简体" w:cs="方正仿宋简体"/>
          <w:sz w:val="32"/>
          <w:lang w:val="en-US" w:eastAsia="zh-CN"/>
        </w:rPr>
        <w:t>试验前应整地、设置保护行、完成试验地区划，各小区应单灌单排，避免串灌串排。试验前测试土壤有机质、全氮、全磷、全钾、碱解氮（或硝态氮和铵态氮）、有效磷、速效钾、pH、阳离子交换量、容重等指标，并对供试肥料养分含量进行检测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楷体简体" w:hAnsi="方正楷体简体" w:eastAsia="方正楷体简体" w:cs="方正楷体简体"/>
          <w:b w:val="0"/>
          <w:bCs w:val="0"/>
          <w:sz w:val="32"/>
          <w:lang w:val="en-US" w:eastAsia="zh-CN"/>
        </w:rPr>
        <w:t>（三）试验小区。</w:t>
      </w:r>
      <w:r>
        <w:rPr>
          <w:rFonts w:hint="eastAsia" w:ascii="方正仿宋简体" w:hAnsi="方正仿宋简体" w:eastAsia="方正仿宋简体" w:cs="方正仿宋简体"/>
          <w:sz w:val="32"/>
          <w:lang w:val="en-US" w:eastAsia="zh-CN"/>
        </w:rPr>
        <w:t>大田作物小区面积不低于20平方米，同一试验点试验年限不少于3年。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楷体简体" w:hAnsi="方正楷体简体" w:eastAsia="方正楷体简体" w:cs="方正楷体简体"/>
          <w:b w:val="0"/>
          <w:bCs w:val="0"/>
          <w:sz w:val="32"/>
          <w:lang w:val="en-US" w:eastAsia="zh-CN"/>
        </w:rPr>
        <w:t>（四）样品采集与化验。</w:t>
      </w:r>
      <w:r>
        <w:rPr>
          <w:rFonts w:hint="eastAsia" w:ascii="方正仿宋简体" w:hAnsi="方正仿宋简体" w:eastAsia="方正仿宋简体" w:cs="方正仿宋简体"/>
          <w:sz w:val="32"/>
          <w:lang w:val="en-US" w:eastAsia="zh-CN"/>
        </w:rPr>
        <w:t>试验结束后，应按照相关技术规范采集每个试验小区土壤及植株样品，送具备资质的机构检测土壤有机质、全氮、全磷、全钾、碱解氮（或硝态氮和铵态氮）、有效磷、速效钾、pH、阳离子交换量、容重等指标。</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楷体简体" w:hAnsi="方正楷体简体" w:eastAsia="方正楷体简体" w:cs="方正楷体简体"/>
          <w:b w:val="0"/>
          <w:bCs w:val="0"/>
          <w:sz w:val="32"/>
          <w:lang w:val="en-US" w:eastAsia="zh-CN"/>
        </w:rPr>
        <w:t>（五）收获与计产。</w:t>
      </w:r>
      <w:r>
        <w:rPr>
          <w:rFonts w:hint="eastAsia" w:ascii="方正仿宋简体" w:hAnsi="方正仿宋简体" w:eastAsia="方正仿宋简体" w:cs="方正仿宋简体"/>
          <w:sz w:val="32"/>
          <w:lang w:val="en-US" w:eastAsia="zh-CN"/>
        </w:rPr>
        <w:t>应正确反映试验结果。每个小区单打、单收、单计产或取代表性样方测产。分次收获的作物，应分次收获、计产，最后累加。室内考种样本应按要求采取，并系好标签，记录小区号、处理名称、取样日期、采样人等。需要采集分析植株样品的应按相关标准要求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方正仿宋简体" w:hAnsi="方正仿宋简体" w:eastAsia="方正仿宋简体" w:cs="方正仿宋简体"/>
          <w:sz w:val="32"/>
          <w:lang w:val="en-US" w:eastAsia="zh-CN"/>
        </w:rPr>
      </w:pPr>
      <w:r>
        <w:rPr>
          <w:rFonts w:hint="eastAsia" w:ascii="方正楷体简体" w:hAnsi="方正楷体简体" w:eastAsia="方正楷体简体" w:cs="方正楷体简体"/>
          <w:b w:val="0"/>
          <w:bCs w:val="0"/>
          <w:sz w:val="32"/>
          <w:lang w:val="en-US" w:eastAsia="zh-CN"/>
        </w:rPr>
        <w:t>（六）数据分析。</w:t>
      </w:r>
      <w:r>
        <w:rPr>
          <w:rFonts w:hint="eastAsia" w:ascii="方正仿宋简体" w:hAnsi="方正仿宋简体" w:eastAsia="方正仿宋简体" w:cs="方正仿宋简体"/>
          <w:sz w:val="32"/>
          <w:lang w:val="en-US" w:eastAsia="zh-CN"/>
        </w:rPr>
        <w:t>试验结果统计学检验应根据试验设计选择。两个处理的配对设计应进行t检验。多于两个处理的完全随机区组设计，试验结果统计学检验应根据试验设计选择执行T检验、F检验、新复极差检验、LSR检验、SSR检验、LSD检验或PLSD检验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lang w:val="en-US" w:eastAsia="zh-CN"/>
        </w:rPr>
      </w:pPr>
      <w:r>
        <w:rPr>
          <w:rFonts w:hint="eastAsia" w:ascii="方正楷体简体" w:hAnsi="方正楷体简体" w:eastAsia="方正楷体简体" w:cs="方正楷体简体"/>
          <w:b w:val="0"/>
          <w:bCs w:val="0"/>
          <w:sz w:val="32"/>
          <w:lang w:val="en-US" w:eastAsia="zh-CN"/>
        </w:rPr>
        <w:t>（七）报告撰写。</w:t>
      </w:r>
      <w:r>
        <w:rPr>
          <w:rFonts w:hint="eastAsia" w:ascii="方正仿宋简体" w:hAnsi="方正仿宋简体" w:eastAsia="方正仿宋简体" w:cs="方正仿宋简体"/>
          <w:sz w:val="32"/>
          <w:lang w:val="en-US" w:eastAsia="zh-CN"/>
        </w:rPr>
        <w:t>试验报告采用科技论文格式撰写。报告内容包括试验来源和目的、试验时间和地点、试验材料与方法、试验结果与分析、试验结论、试验执行单位盖章、试验主持人签字。其中，试验材料与方法包括供试土壤、供试肥料、供试作物、试验设计、试验条件、管理措施等；试验结果与分析包括试验结果统计学检验和有机肥替代化肥情况评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宋体"/>
    <w:panose1 w:val="02000500000000000000"/>
    <w:charset w:val="00"/>
    <w:family w:val="auto"/>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iYTVjNGI0YmM5ZjM5ZjRmOTJiMTUwMjFlZjRhYjkifQ=="/>
  </w:docVars>
  <w:rsids>
    <w:rsidRoot w:val="00000000"/>
    <w:rsid w:val="7F8E0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2023-09-28T02:05:19Z</dcterms:created>
  <dc:creator>Administrator</dc:creator>
  <cp:lastModifiedBy>闻风知露</cp:lastModifiedBy>
  <dcterms:modified xsi:type="dcterms:W3CDTF">2023-09-28T02:05:51Z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601068A00DE74798889229E0EA82AF36_12</vt:lpwstr>
  </property>
</Properties>
</file>