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张店镇综合行</w:t>
      </w:r>
      <w:r>
        <w:rPr>
          <w:rFonts w:hint="eastAsia" w:ascii="宋体" w:hAnsi="宋体" w:eastAsia="宋体" w:cs="宋体"/>
          <w:sz w:val="44"/>
          <w:szCs w:val="44"/>
        </w:rPr>
        <w:t>政执法人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员培训管理</w:t>
      </w:r>
      <w:r>
        <w:rPr>
          <w:rFonts w:hint="eastAsia" w:ascii="宋体" w:hAnsi="宋体" w:eastAsia="宋体" w:cs="宋体"/>
          <w:sz w:val="44"/>
          <w:szCs w:val="44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一、为了不断提高行政执法人员的业务素质，加强行政执法人员法制教育，提高行政执法人员依法行政的水平，确保法律、法规、规章的正确实施，制定本制度。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二、行政执法人员学习培训内容包括: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1、法学基础知识以及相关的法律、法规;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2、国务院《全面推进依法行政实施纲要》、《国务院关于加强市县依法行政的决定》;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3、新颁布的法律、法规、规章;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4、行政处罚、行政复议、行政诉讼、国家赔偿等公共法律知识;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5、执法人员职业道德规范及职业技能的基本常识;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6、必须具备的其他有关知识。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三、学习培训可采取举办专题讲座、研讨、考察及以会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代培、以案释法等多种形式。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四、新进行政执法人员必须参加由市法制办组织的岗前培训，经考核合格并取得《行政执法证》后，方可持证上岗。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五、对新近颁布的法律、法规、规章及规范性文件，必须及时组织学习。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六、行政执法人员的培训学习成绩和平时学习成绩应纳入年终岗位考核，与奖惩挂钩。因其他原因未参加培训、学习的要限期补课，直至考核合格为止。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ODQ1ZGQzMTY4ZmJjYWVhNmE4YjIxZGM5ZDVmYTgifQ=="/>
  </w:docVars>
  <w:rsids>
    <w:rsidRoot w:val="00000000"/>
    <w:rsid w:val="3AAC3DBE"/>
    <w:rsid w:val="4547174C"/>
    <w:rsid w:val="6545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431</Characters>
  <Lines>0</Lines>
  <Paragraphs>0</Paragraphs>
  <TotalTime>4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2023-08-10T06:55:00Z</dcterms:created>
  <dc:creator>Administrator</dc:creator>
  <cp:lastModifiedBy>梦一场</cp:lastModifiedBy>
  <dcterms:modified xsi:type="dcterms:W3CDTF">2023-08-15T09:53:05Z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E9535574192A40CFB2167B8CEA28F273_13</vt:lpwstr>
  </property>
</Properties>
</file>