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napToGrid w:val="0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</w:p>
    <w:p>
      <w:pPr>
        <w:snapToGrid w:val="0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  <w:lang w:val="en-US" w:eastAsia="zh-CN"/>
        </w:rPr>
        <w:t>唐河县在</w:t>
      </w:r>
      <w:r>
        <w:rPr>
          <w:rFonts w:hint="eastAsia" w:eastAsia="方正小标宋简体" w:cs="方正小标宋简体"/>
          <w:color w:val="000000"/>
          <w:sz w:val="44"/>
          <w:szCs w:val="44"/>
        </w:rPr>
        <w:t>乡镇（街道）行使消防救援</w:t>
      </w:r>
    </w:p>
    <w:p>
      <w:pPr>
        <w:snapToGrid w:val="0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行政处罚权的适用范围</w:t>
      </w:r>
    </w:p>
    <w:p>
      <w:pPr>
        <w:spacing w:line="578" w:lineRule="exact"/>
        <w:ind w:firstLine="640" w:firstLineChars="200"/>
        <w:rPr>
          <w:rFonts w:hint="eastAsia" w:eastAsia="仿宋_GB2312" w:cs="仿宋_GB2312"/>
          <w:color w:val="000000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一、居民住宅小区、商业服务网点。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二、建筑面积在300平方米以下（不含300平方米）的七类场所：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（一）“多合一”场所；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（二）出租屋、群租房；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（三）商店、集贸市场、旅馆、饭店（含农家乐）、沿街门店；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（四）洗浴、足浴、茶社、美容美发、采耳、健身、汗蒸等营业性休闲场所；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（五）邮政、电商、物流（含快递收发点）、金融网点、医疗卫生机构；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（六）公共书屋、展示陈列等基层文化服务场所；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（七）生产、加工、储存非易燃易爆品的工厂、作坊、仓库、堆场等场所。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7001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qFormat/>
    <w:uiPriority w:val="99"/>
    <w:pPr>
      <w:spacing w:before="120"/>
    </w:pPr>
    <w:rPr>
      <w:rFonts w:ascii="Calibri Light" w:hAnsi="Calibri Light" w:cs="Calibri Light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2023-07-17T10:12:57Z</dcterms:created>
  <dc:creator>Administrator</dc:creator>
  <cp:lastModifiedBy>M卯卯</cp:lastModifiedBy>
  <dcterms:modified xsi:type="dcterms:W3CDTF">2023-07-17T10:16:20Z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F43D3186851E4AEFA9391E1B33CE9FF3_12</vt:lpwstr>
  </property>
</Properties>
</file>