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企经营许可事项告知承诺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办事指南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办理条件</w:t>
      </w:r>
      <w:r>
        <w:rPr>
          <w:rFonts w:hint="eastAsia"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对于实行告知承诺制的涉企经营许可事项，申请人可自主选择是否采用告知承诺制方式办理。申请人不愿承诺或者无法承诺的，应当提交法律法规或者国务院决定要求的证明，或者按照一般程序办理涉企经营许可事项。申请人有较严重的不良信用记录或者存在曾作出虚假承诺等情形的，在信用修复前不适用告知承诺制。</w:t>
      </w:r>
    </w:p>
    <w:p>
      <w:pPr>
        <w:pStyle w:val="2"/>
        <w:ind w:left="0" w:leftChars="0" w:firstLine="60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办理事项：</w:t>
      </w:r>
    </w:p>
    <w:tbl>
      <w:tblPr>
        <w:tblStyle w:val="5"/>
        <w:tblW w:w="8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64"/>
        <w:gridCol w:w="2998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涉企经营许可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事项名称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告知承诺事项内容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承诺方式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食品生产者延续食品生产许可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申请人生产条件未发生变化声明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申请人提交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药品经营许可证（零售）换发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换发药品零售经营许可告知承诺书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申请人提交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药品经营许可证（零售）经营范围变更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经营范围变更药品零售经营许可告知承诺书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申请人提交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特种设备作业人员资格认定（焊接取证）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体检报告或健康自我承诺书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申请人提交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特种设备作业人员资格认定（焊接复审）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含有视力、色盲等内容健康证明或健康自我承诺书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申请人提交</w:t>
            </w:r>
          </w:p>
        </w:tc>
      </w:tr>
    </w:tbl>
    <w:p>
      <w:pPr>
        <w:pStyle w:val="2"/>
        <w:ind w:left="0" w:leftChars="0" w:firstLine="600" w:firstLineChars="200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ind w:left="0" w:leftChars="0" w:firstLine="600" w:firstLineChars="200"/>
        <w:rPr>
          <w:rFonts w:hint="eastAsia"/>
        </w:rPr>
      </w:pPr>
      <w:r>
        <w:rPr>
          <w:rFonts w:hint="eastAsia" w:ascii="黑体" w:hAnsi="黑体" w:eastAsia="黑体" w:cs="黑体"/>
          <w:lang w:val="en-US" w:eastAsia="zh-CN"/>
        </w:rPr>
        <w:t>办理流程</w:t>
      </w:r>
      <w:r>
        <w:rPr>
          <w:rFonts w:hint="eastAsia"/>
          <w:lang w:val="en-US" w:eastAsia="zh-CN"/>
        </w:rPr>
        <w:t>：填写告知承诺书-</w:t>
      </w:r>
      <w:r>
        <w:rPr>
          <w:rFonts w:hint="eastAsia"/>
        </w:rPr>
        <w:t>按要求提交材料</w:t>
      </w:r>
    </w:p>
    <w:p>
      <w:pPr>
        <w:pStyle w:val="2"/>
        <w:ind w:left="0" w:leftChars="0" w:firstLine="60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办理时限</w:t>
      </w:r>
      <w:r>
        <w:rPr>
          <w:rFonts w:hint="eastAsia"/>
          <w:lang w:val="en-US" w:eastAsia="zh-CN"/>
        </w:rPr>
        <w:t>：1天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办理地点：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唐河县政务服务中心三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楼市场监管局窗口</w:t>
      </w:r>
    </w:p>
    <w:p>
      <w:pPr>
        <w:ind w:firstLine="600" w:firstLineChars="200"/>
        <w:rPr>
          <w:rFonts w:hint="eastAsia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  <w:t>咨询电话</w: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：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0377-68957988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cs="Times New Roman"/>
          <w:kern w:val="2"/>
          <w:sz w:val="30"/>
          <w:szCs w:val="24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kern w:val="2"/>
          <w:sz w:val="30"/>
          <w:szCs w:val="24"/>
          <w:lang w:val="en-US" w:eastAsia="zh-CN" w:bidi="ar-SA"/>
        </w:rPr>
        <w:t>监督电话：</w:t>
      </w:r>
      <w:r>
        <w:rPr>
          <w:rFonts w:hint="eastAsia" w:ascii="楷体" w:hAnsi="楷体" w:eastAsia="楷体" w:cs="楷体"/>
          <w:kern w:val="2"/>
          <w:sz w:val="30"/>
          <w:szCs w:val="24"/>
          <w:lang w:val="en-US" w:eastAsia="zh-CN" w:bidi="ar-SA"/>
        </w:rPr>
        <w:t>0377-68922084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OWZiZGVhYTRlYmQ2YzcxZWM5NzQyYzlkYjM4NzQifQ=="/>
  </w:docVars>
  <w:rsids>
    <w:rsidRoot w:val="00000000"/>
    <w:rsid w:val="038018B6"/>
    <w:rsid w:val="076C5159"/>
    <w:rsid w:val="1EB21A9C"/>
    <w:rsid w:val="3F6F1553"/>
    <w:rsid w:val="67F707CF"/>
    <w:rsid w:val="7F4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469</Characters>
  <Lines>0</Lines>
  <Paragraphs>0</Paragraphs>
  <TotalTime>2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2023-07-06T10:47:00Z</dcterms:created>
  <dc:creator>Administrator</dc:creator>
  <cp:lastModifiedBy>Administrator</cp:lastModifiedBy>
  <dcterms:modified xsi:type="dcterms:W3CDTF">2023-07-10T03:35:28Z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1DF8935F6DE548818957B55264093398_13</vt:lpwstr>
  </property>
</Properties>
</file>