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28"/>
          <w:szCs w:val="28"/>
        </w:rPr>
      </w:pPr>
      <w:r>
        <w:rPr>
          <w:rFonts w:hint="eastAsia" w:ascii="黑体" w:hAnsi="黑体" w:eastAsia="黑体" w:cs="黑体"/>
          <w:sz w:val="28"/>
          <w:szCs w:val="28"/>
        </w:rPr>
        <w:t>附件</w:t>
      </w:r>
      <w:r>
        <w:rPr>
          <w:rFonts w:ascii="黑体" w:hAnsi="黑体" w:eastAsia="黑体" w:cs="黑体"/>
          <w:sz w:val="28"/>
          <w:szCs w:val="28"/>
        </w:rPr>
        <w:t>2</w:t>
      </w:r>
    </w:p>
    <w:p>
      <w:pPr>
        <w:jc w:val="center"/>
        <w:rPr>
          <w:rFonts w:hint="eastAsia" w:ascii="宋体" w:hAnsi="宋体" w:cs="宋体"/>
          <w:color w:val="000000"/>
          <w:kern w:val="0"/>
          <w:sz w:val="20"/>
          <w:szCs w:val="20"/>
          <w:lang w:bidi="ar"/>
        </w:rPr>
      </w:pPr>
      <w:bookmarkStart w:id="0" w:name="_GoBack"/>
      <w:r>
        <w:rPr>
          <w:rFonts w:hint="eastAsia" w:ascii="黑体" w:hAnsi="黑体" w:eastAsia="黑体" w:cs="黑体"/>
          <w:color w:val="000000"/>
          <w:kern w:val="0"/>
          <w:sz w:val="44"/>
          <w:szCs w:val="44"/>
          <w:lang w:bidi="ar"/>
        </w:rPr>
        <w:t>河南省融资担保公司监管评级得分表</w:t>
      </w:r>
    </w:p>
    <w:bookmarkEnd w:id="0"/>
    <w:tbl>
      <w:tblPr>
        <w:tblStyle w:val="3"/>
        <w:tblpPr w:leftFromText="180" w:rightFromText="180" w:vertAnchor="page" w:horzAnchor="margin" w:tblpXSpec="center" w:tblpY="3987"/>
        <w:tblW w:w="139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1707"/>
        <w:gridCol w:w="621"/>
        <w:gridCol w:w="2041"/>
        <w:gridCol w:w="1247"/>
        <w:gridCol w:w="1674"/>
        <w:gridCol w:w="1548"/>
        <w:gridCol w:w="1267"/>
        <w:gridCol w:w="1289"/>
        <w:gridCol w:w="1282"/>
        <w:gridCol w:w="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9" w:type="dxa"/>
            <w:gridSpan w:val="2"/>
            <w:noWrap w:val="0"/>
            <w:vAlign w:val="center"/>
          </w:tcPr>
          <w:p>
            <w:pPr>
              <w:widowControl/>
              <w:jc w:val="center"/>
              <w:rPr>
                <w:rFonts w:hint="eastAsia" w:ascii="黑体" w:hAnsi="黑体" w:eastAsia="黑体" w:cs="黑体"/>
                <w:kern w:val="0"/>
                <w:sz w:val="28"/>
                <w:szCs w:val="28"/>
                <w:lang w:val="en-US" w:eastAsia="zh-CN" w:bidi="ar-SA"/>
              </w:rPr>
            </w:pPr>
            <w:r>
              <w:rPr>
                <w:rFonts w:hint="eastAsia" w:ascii="宋体" w:hAnsi="宋体" w:cs="宋体"/>
                <w:color w:val="000000"/>
                <w:kern w:val="0"/>
                <w:sz w:val="24"/>
                <w:szCs w:val="24"/>
                <w:lang w:bidi="ar"/>
              </w:rPr>
              <w:t>公司名称</w:t>
            </w:r>
          </w:p>
        </w:tc>
        <w:tc>
          <w:tcPr>
            <w:tcW w:w="7131" w:type="dxa"/>
            <w:gridSpan w:val="5"/>
            <w:noWrap w:val="0"/>
            <w:vAlign w:val="center"/>
          </w:tcPr>
          <w:p>
            <w:pPr>
              <w:widowControl/>
              <w:jc w:val="center"/>
              <w:rPr>
                <w:rFonts w:hint="eastAsia" w:ascii="黑体" w:hAnsi="黑体" w:eastAsia="黑体" w:cs="黑体"/>
                <w:kern w:val="0"/>
                <w:sz w:val="28"/>
                <w:szCs w:val="28"/>
              </w:rPr>
            </w:pPr>
          </w:p>
        </w:tc>
        <w:tc>
          <w:tcPr>
            <w:tcW w:w="1267" w:type="dxa"/>
            <w:noWrap w:val="0"/>
            <w:vAlign w:val="center"/>
          </w:tcPr>
          <w:p>
            <w:pPr>
              <w:widowControl/>
              <w:jc w:val="center"/>
              <w:rPr>
                <w:rFonts w:hint="eastAsia" w:ascii="黑体" w:hAnsi="黑体" w:eastAsia="黑体" w:cs="黑体"/>
                <w:kern w:val="0"/>
                <w:sz w:val="28"/>
                <w:szCs w:val="28"/>
                <w:lang w:val="en-US" w:eastAsia="zh-CN" w:bidi="ar-SA"/>
              </w:rPr>
            </w:pPr>
            <w:r>
              <w:rPr>
                <w:rFonts w:hint="eastAsia" w:ascii="宋体" w:hAnsi="宋体" w:cs="宋体"/>
                <w:color w:val="000000"/>
                <w:kern w:val="0"/>
                <w:sz w:val="24"/>
                <w:szCs w:val="24"/>
                <w:lang w:bidi="ar"/>
              </w:rPr>
              <w:t>注册</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资本</w:t>
            </w:r>
          </w:p>
        </w:tc>
        <w:tc>
          <w:tcPr>
            <w:tcW w:w="2614" w:type="dxa"/>
            <w:gridSpan w:val="3"/>
            <w:noWrap w:val="0"/>
            <w:vAlign w:val="center"/>
          </w:tcPr>
          <w:p>
            <w:pPr>
              <w:widowControl/>
              <w:jc w:val="center"/>
              <w:rPr>
                <w:rFonts w:hint="eastAsia" w:ascii="黑体" w:hAnsi="黑体" w:eastAsia="黑体" w:cs="黑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9" w:type="dxa"/>
            <w:gridSpan w:val="2"/>
            <w:noWrap w:val="0"/>
            <w:vAlign w:val="center"/>
          </w:tcPr>
          <w:p>
            <w:pPr>
              <w:widowControl/>
              <w:jc w:val="center"/>
              <w:rPr>
                <w:rFonts w:hint="eastAsia" w:ascii="黑体" w:hAnsi="黑体" w:eastAsia="黑体" w:cs="黑体"/>
                <w:kern w:val="0"/>
                <w:sz w:val="28"/>
                <w:szCs w:val="28"/>
                <w:lang w:val="en-US" w:eastAsia="zh-CN" w:bidi="ar-SA"/>
              </w:rPr>
            </w:pPr>
            <w:r>
              <w:rPr>
                <w:rFonts w:hint="eastAsia" w:ascii="宋体" w:hAnsi="宋体" w:cs="宋体"/>
                <w:color w:val="000000"/>
                <w:kern w:val="0"/>
                <w:sz w:val="24"/>
                <w:szCs w:val="24"/>
                <w:lang w:bidi="ar"/>
              </w:rPr>
              <w:t>注册地址</w:t>
            </w:r>
          </w:p>
        </w:tc>
        <w:tc>
          <w:tcPr>
            <w:tcW w:w="7131" w:type="dxa"/>
            <w:gridSpan w:val="5"/>
            <w:noWrap w:val="0"/>
            <w:vAlign w:val="center"/>
          </w:tcPr>
          <w:p>
            <w:pPr>
              <w:widowControl/>
              <w:jc w:val="center"/>
              <w:rPr>
                <w:rFonts w:hint="eastAsia" w:ascii="黑体" w:hAnsi="黑体" w:eastAsia="黑体" w:cs="黑体"/>
                <w:kern w:val="0"/>
                <w:sz w:val="28"/>
                <w:szCs w:val="28"/>
              </w:rPr>
            </w:pPr>
          </w:p>
        </w:tc>
        <w:tc>
          <w:tcPr>
            <w:tcW w:w="1267" w:type="dxa"/>
            <w:noWrap w:val="0"/>
            <w:vAlign w:val="center"/>
          </w:tcPr>
          <w:p>
            <w:pPr>
              <w:widowControl/>
              <w:jc w:val="center"/>
              <w:rPr>
                <w:rFonts w:hint="eastAsia" w:ascii="黑体" w:hAnsi="黑体" w:eastAsia="黑体" w:cs="黑体"/>
                <w:kern w:val="0"/>
                <w:sz w:val="28"/>
                <w:szCs w:val="28"/>
                <w:lang w:val="en-US" w:eastAsia="zh-CN" w:bidi="ar-SA"/>
              </w:rPr>
            </w:pPr>
            <w:r>
              <w:rPr>
                <w:rFonts w:hint="eastAsia" w:ascii="宋体" w:hAnsi="宋体" w:cs="宋体"/>
                <w:color w:val="000000"/>
                <w:kern w:val="0"/>
                <w:sz w:val="24"/>
                <w:szCs w:val="24"/>
                <w:lang w:bidi="ar"/>
              </w:rPr>
              <w:t>组织</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形式</w:t>
            </w:r>
          </w:p>
        </w:tc>
        <w:tc>
          <w:tcPr>
            <w:tcW w:w="2614" w:type="dxa"/>
            <w:gridSpan w:val="3"/>
            <w:noWrap w:val="0"/>
            <w:vAlign w:val="center"/>
          </w:tcPr>
          <w:p>
            <w:pPr>
              <w:widowControl/>
              <w:jc w:val="center"/>
              <w:rPr>
                <w:rFonts w:hint="eastAsia" w:ascii="黑体" w:hAnsi="黑体" w:eastAsia="黑体" w:cs="黑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9" w:type="dxa"/>
            <w:gridSpan w:val="2"/>
            <w:noWrap w:val="0"/>
            <w:vAlign w:val="center"/>
          </w:tcPr>
          <w:p>
            <w:pPr>
              <w:widowControl/>
              <w:jc w:val="center"/>
              <w:rPr>
                <w:rFonts w:hint="eastAsia" w:ascii="黑体" w:hAnsi="黑体" w:eastAsia="黑体" w:cs="黑体"/>
                <w:kern w:val="0"/>
                <w:sz w:val="28"/>
                <w:szCs w:val="28"/>
                <w:lang w:val="en-US" w:eastAsia="zh-CN" w:bidi="ar-SA"/>
              </w:rPr>
            </w:pPr>
            <w:r>
              <w:rPr>
                <w:rFonts w:hint="eastAsia" w:ascii="宋体" w:hAnsi="宋体" w:cs="宋体"/>
                <w:color w:val="000000"/>
                <w:kern w:val="0"/>
                <w:sz w:val="24"/>
                <w:szCs w:val="24"/>
                <w:lang w:bidi="ar"/>
              </w:rPr>
              <w:t>法定代表人</w:t>
            </w:r>
          </w:p>
        </w:tc>
        <w:tc>
          <w:tcPr>
            <w:tcW w:w="2662" w:type="dxa"/>
            <w:gridSpan w:val="2"/>
            <w:noWrap w:val="0"/>
            <w:vAlign w:val="center"/>
          </w:tcPr>
          <w:p>
            <w:pPr>
              <w:widowControl/>
              <w:jc w:val="center"/>
              <w:rPr>
                <w:rFonts w:hint="eastAsia" w:ascii="黑体" w:hAnsi="黑体" w:eastAsia="黑体" w:cs="黑体"/>
                <w:kern w:val="0"/>
                <w:sz w:val="28"/>
                <w:szCs w:val="28"/>
              </w:rPr>
            </w:pPr>
          </w:p>
        </w:tc>
        <w:tc>
          <w:tcPr>
            <w:tcW w:w="1247" w:type="dxa"/>
            <w:noWrap w:val="0"/>
            <w:vAlign w:val="center"/>
          </w:tcPr>
          <w:p>
            <w:pPr>
              <w:widowControl/>
              <w:jc w:val="center"/>
              <w:rPr>
                <w:rFonts w:hint="eastAsia" w:ascii="黑体" w:hAnsi="黑体" w:eastAsia="黑体" w:cs="黑体"/>
                <w:kern w:val="0"/>
                <w:sz w:val="28"/>
                <w:szCs w:val="28"/>
              </w:rPr>
            </w:pPr>
            <w:r>
              <w:rPr>
                <w:rFonts w:hint="eastAsia" w:ascii="宋体" w:hAnsi="宋体" w:cs="宋体"/>
                <w:color w:val="000000"/>
                <w:kern w:val="0"/>
                <w:sz w:val="24"/>
                <w:szCs w:val="24"/>
                <w:lang w:bidi="ar"/>
              </w:rPr>
              <w:t>电话</w:t>
            </w:r>
          </w:p>
        </w:tc>
        <w:tc>
          <w:tcPr>
            <w:tcW w:w="3222" w:type="dxa"/>
            <w:gridSpan w:val="2"/>
            <w:noWrap w:val="0"/>
            <w:vAlign w:val="center"/>
          </w:tcPr>
          <w:p>
            <w:pPr>
              <w:widowControl/>
              <w:jc w:val="center"/>
              <w:rPr>
                <w:rFonts w:hint="eastAsia" w:ascii="黑体" w:hAnsi="黑体" w:eastAsia="黑体" w:cs="黑体"/>
                <w:kern w:val="0"/>
                <w:sz w:val="28"/>
                <w:szCs w:val="28"/>
              </w:rPr>
            </w:pPr>
          </w:p>
        </w:tc>
        <w:tc>
          <w:tcPr>
            <w:tcW w:w="1267" w:type="dxa"/>
            <w:noWrap w:val="0"/>
            <w:vAlign w:val="center"/>
          </w:tcPr>
          <w:p>
            <w:pPr>
              <w:widowControl/>
              <w:jc w:val="center"/>
              <w:rPr>
                <w:rFonts w:hint="eastAsia" w:ascii="黑体" w:hAnsi="黑体" w:eastAsia="黑体" w:cs="黑体"/>
                <w:kern w:val="0"/>
                <w:sz w:val="28"/>
                <w:szCs w:val="28"/>
              </w:rPr>
            </w:pPr>
            <w:r>
              <w:rPr>
                <w:rFonts w:hint="eastAsia" w:ascii="宋体" w:hAnsi="宋体" w:cs="宋体"/>
                <w:color w:val="000000"/>
                <w:kern w:val="0"/>
                <w:sz w:val="24"/>
                <w:szCs w:val="24"/>
                <w:lang w:bidi="ar"/>
              </w:rPr>
              <w:t>成立</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时间</w:t>
            </w:r>
          </w:p>
        </w:tc>
        <w:tc>
          <w:tcPr>
            <w:tcW w:w="2614" w:type="dxa"/>
            <w:gridSpan w:val="3"/>
            <w:noWrap w:val="0"/>
            <w:vAlign w:val="center"/>
          </w:tcPr>
          <w:p>
            <w:pPr>
              <w:widowControl/>
              <w:jc w:val="center"/>
              <w:rPr>
                <w:rFonts w:hint="eastAsia" w:ascii="黑体" w:hAnsi="黑体" w:eastAsia="黑体" w:cs="黑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noWrap w:val="0"/>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主干</w:t>
            </w:r>
            <w:r>
              <w:rPr>
                <w:rFonts w:ascii="黑体" w:hAnsi="黑体" w:eastAsia="黑体" w:cs="黑体"/>
                <w:kern w:val="0"/>
                <w:sz w:val="24"/>
                <w:szCs w:val="24"/>
              </w:rPr>
              <w:t>指标</w:t>
            </w:r>
          </w:p>
        </w:tc>
        <w:tc>
          <w:tcPr>
            <w:tcW w:w="1707" w:type="dxa"/>
            <w:noWrap w:val="0"/>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二级</w:t>
            </w:r>
            <w:r>
              <w:rPr>
                <w:rFonts w:ascii="黑体" w:hAnsi="黑体" w:eastAsia="黑体" w:cs="黑体"/>
                <w:kern w:val="0"/>
                <w:sz w:val="24"/>
                <w:szCs w:val="24"/>
              </w:rPr>
              <w:t>指标</w:t>
            </w:r>
          </w:p>
        </w:tc>
        <w:tc>
          <w:tcPr>
            <w:tcW w:w="7131" w:type="dxa"/>
            <w:gridSpan w:val="5"/>
            <w:noWrap w:val="0"/>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评分细则</w:t>
            </w:r>
          </w:p>
        </w:tc>
        <w:tc>
          <w:tcPr>
            <w:tcW w:w="1267" w:type="dxa"/>
            <w:noWrap w:val="0"/>
            <w:vAlign w:val="center"/>
          </w:tcPr>
          <w:p>
            <w:pPr>
              <w:widowControl/>
              <w:jc w:val="center"/>
              <w:textAlignment w:val="center"/>
              <w:rPr>
                <w:rFonts w:ascii="黑体" w:hAnsi="宋体" w:eastAsia="黑体" w:cs="黑体"/>
                <w:color w:val="000000"/>
                <w:kern w:val="0"/>
                <w:sz w:val="24"/>
                <w:szCs w:val="24"/>
                <w:lang w:bidi="ar"/>
              </w:rPr>
            </w:pPr>
            <w:r>
              <w:rPr>
                <w:rFonts w:hint="eastAsia" w:ascii="黑体" w:hAnsi="宋体" w:eastAsia="黑体" w:cs="黑体"/>
                <w:color w:val="000000"/>
                <w:kern w:val="0"/>
                <w:sz w:val="24"/>
                <w:szCs w:val="24"/>
                <w:lang w:bidi="ar"/>
              </w:rPr>
              <w:t>自评</w:t>
            </w:r>
          </w:p>
          <w:p>
            <w:pPr>
              <w:widowControl/>
              <w:jc w:val="center"/>
              <w:rPr>
                <w:rFonts w:hint="eastAsia" w:ascii="黑体" w:hAnsi="宋体" w:eastAsia="黑体" w:cs="黑体"/>
                <w:color w:val="000000"/>
                <w:kern w:val="0"/>
                <w:sz w:val="24"/>
                <w:szCs w:val="24"/>
                <w:lang w:val="en-US" w:eastAsia="zh-CN" w:bidi="ar"/>
              </w:rPr>
            </w:pPr>
            <w:r>
              <w:rPr>
                <w:rFonts w:hint="eastAsia" w:ascii="黑体" w:hAnsi="宋体" w:eastAsia="黑体" w:cs="黑体"/>
                <w:color w:val="000000"/>
                <w:kern w:val="0"/>
                <w:sz w:val="24"/>
                <w:szCs w:val="24"/>
                <w:lang w:bidi="ar"/>
              </w:rPr>
              <w:t>得分</w:t>
            </w:r>
          </w:p>
        </w:tc>
        <w:tc>
          <w:tcPr>
            <w:tcW w:w="1289" w:type="dxa"/>
            <w:noWrap w:val="0"/>
            <w:vAlign w:val="center"/>
          </w:tcPr>
          <w:p>
            <w:pPr>
              <w:widowControl/>
              <w:jc w:val="center"/>
              <w:textAlignment w:val="center"/>
              <w:rPr>
                <w:rFonts w:ascii="黑体" w:hAnsi="宋体" w:eastAsia="黑体" w:cs="黑体"/>
                <w:color w:val="000000"/>
                <w:kern w:val="0"/>
                <w:sz w:val="24"/>
                <w:szCs w:val="24"/>
                <w:lang w:bidi="ar"/>
              </w:rPr>
            </w:pPr>
            <w:r>
              <w:rPr>
                <w:rFonts w:hint="eastAsia" w:ascii="黑体" w:hAnsi="宋体" w:eastAsia="黑体" w:cs="黑体"/>
                <w:color w:val="000000"/>
                <w:kern w:val="0"/>
                <w:sz w:val="24"/>
                <w:szCs w:val="24"/>
                <w:lang w:bidi="ar"/>
              </w:rPr>
              <w:t>县区评级</w:t>
            </w:r>
          </w:p>
          <w:p>
            <w:pPr>
              <w:widowControl/>
              <w:jc w:val="center"/>
              <w:rPr>
                <w:rFonts w:hint="eastAsia" w:ascii="黑体" w:hAnsi="宋体" w:eastAsia="黑体" w:cs="黑体"/>
                <w:color w:val="000000"/>
                <w:kern w:val="0"/>
                <w:sz w:val="24"/>
                <w:szCs w:val="24"/>
                <w:lang w:val="en-US" w:eastAsia="zh-CN" w:bidi="ar"/>
              </w:rPr>
            </w:pPr>
            <w:r>
              <w:rPr>
                <w:rFonts w:hint="eastAsia" w:ascii="黑体" w:hAnsi="宋体" w:eastAsia="黑体" w:cs="黑体"/>
                <w:color w:val="000000"/>
                <w:kern w:val="0"/>
                <w:sz w:val="24"/>
                <w:szCs w:val="24"/>
                <w:lang w:bidi="ar"/>
              </w:rPr>
              <w:t>结果</w:t>
            </w:r>
          </w:p>
        </w:tc>
        <w:tc>
          <w:tcPr>
            <w:tcW w:w="1325" w:type="dxa"/>
            <w:gridSpan w:val="2"/>
            <w:noWrap w:val="0"/>
            <w:vAlign w:val="center"/>
          </w:tcPr>
          <w:p>
            <w:pPr>
              <w:widowControl/>
              <w:jc w:val="center"/>
              <w:textAlignment w:val="center"/>
              <w:rPr>
                <w:rFonts w:ascii="黑体" w:hAnsi="宋体" w:eastAsia="黑体" w:cs="黑体"/>
                <w:color w:val="000000"/>
                <w:kern w:val="0"/>
                <w:sz w:val="24"/>
                <w:szCs w:val="24"/>
                <w:lang w:bidi="ar"/>
              </w:rPr>
            </w:pPr>
            <w:r>
              <w:rPr>
                <w:rFonts w:hint="eastAsia" w:ascii="黑体" w:hAnsi="宋体" w:eastAsia="黑体" w:cs="黑体"/>
                <w:color w:val="000000"/>
                <w:kern w:val="0"/>
                <w:sz w:val="24"/>
                <w:szCs w:val="24"/>
                <w:lang w:bidi="ar"/>
              </w:rPr>
              <w:t>市级评级</w:t>
            </w:r>
          </w:p>
          <w:p>
            <w:pPr>
              <w:widowControl/>
              <w:jc w:val="center"/>
              <w:rPr>
                <w:rFonts w:hint="eastAsia" w:ascii="黑体" w:hAnsi="宋体" w:eastAsia="黑体" w:cs="黑体"/>
                <w:color w:val="000000"/>
                <w:kern w:val="0"/>
                <w:sz w:val="24"/>
                <w:szCs w:val="24"/>
                <w:lang w:val="en-US" w:eastAsia="zh-CN" w:bidi="ar"/>
              </w:rPr>
            </w:pPr>
            <w:r>
              <w:rPr>
                <w:rFonts w:hint="eastAsia" w:ascii="黑体" w:hAnsi="宋体" w:eastAsia="黑体" w:cs="黑体"/>
                <w:color w:val="000000"/>
                <w:kern w:val="0"/>
                <w:sz w:val="24"/>
                <w:szCs w:val="24"/>
                <w:lang w:bidi="ar"/>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182" w:type="dxa"/>
            <w:vMerge w:val="restart"/>
            <w:noWrap w:val="0"/>
            <w:vAlign w:val="center"/>
          </w:tcPr>
          <w:p>
            <w:pPr>
              <w:spacing w:line="360" w:lineRule="auto"/>
              <w:ind w:left="-107" w:leftChars="-51"/>
              <w:jc w:val="center"/>
              <w:rPr>
                <w:rFonts w:ascii="Times New Roman" w:hAnsi="Times New Roman" w:eastAsia="仿宋_GB2312"/>
                <w:kern w:val="0"/>
                <w:sz w:val="24"/>
                <w:szCs w:val="24"/>
              </w:rPr>
            </w:pPr>
            <w:r>
              <w:rPr>
                <w:rFonts w:hint="eastAsia" w:ascii="仿宋" w:hAnsi="仿宋" w:eastAsia="仿宋" w:cs="仿宋"/>
                <w:sz w:val="28"/>
                <w:szCs w:val="28"/>
              </w:rPr>
              <w:t>公司治理与信用情况</w:t>
            </w:r>
            <w:r>
              <w:rPr>
                <w:rFonts w:hint="eastAsia" w:ascii="仿宋" w:hAnsi="仿宋" w:eastAsia="仿宋" w:cs="仿宋"/>
                <w:sz w:val="28"/>
                <w:szCs w:val="28"/>
              </w:rPr>
              <w:br w:type="textWrapping"/>
            </w:r>
            <w:r>
              <w:rPr>
                <w:rFonts w:hint="eastAsia" w:ascii="仿宋" w:hAnsi="仿宋" w:eastAsia="仿宋" w:cs="仿宋"/>
                <w:sz w:val="28"/>
                <w:szCs w:val="28"/>
              </w:rPr>
              <w:t>（15分）</w:t>
            </w:r>
          </w:p>
        </w:tc>
        <w:tc>
          <w:tcPr>
            <w:tcW w:w="1707" w:type="dxa"/>
            <w:vMerge w:val="restart"/>
            <w:noWrap w:val="0"/>
            <w:vAlign w:val="center"/>
          </w:tcPr>
          <w:p>
            <w:pPr>
              <w:spacing w:line="360" w:lineRule="auto"/>
              <w:jc w:val="center"/>
              <w:rPr>
                <w:rFonts w:ascii="Times New Roman" w:hAnsi="Times New Roman" w:eastAsia="仿宋_GB2312"/>
                <w:kern w:val="0"/>
                <w:szCs w:val="21"/>
              </w:rPr>
            </w:pPr>
            <w:r>
              <w:rPr>
                <w:rFonts w:ascii="仿宋" w:hAnsi="仿宋" w:eastAsia="仿宋" w:cs="仿宋"/>
                <w:sz w:val="24"/>
                <w:szCs w:val="24"/>
              </w:rPr>
              <w:t>“三会一层”设置及管理体</w:t>
            </w:r>
            <w:r>
              <w:rPr>
                <w:rFonts w:hint="eastAsia" w:ascii="仿宋" w:hAnsi="仿宋" w:eastAsia="仿宋" w:cs="仿宋"/>
                <w:sz w:val="24"/>
                <w:szCs w:val="24"/>
              </w:rPr>
              <w:t>（3分）</w:t>
            </w:r>
          </w:p>
        </w:tc>
        <w:tc>
          <w:tcPr>
            <w:tcW w:w="7131" w:type="dxa"/>
            <w:gridSpan w:val="5"/>
            <w:noWrap w:val="0"/>
            <w:vAlign w:val="center"/>
          </w:tcPr>
          <w:p>
            <w:pPr>
              <w:jc w:val="left"/>
              <w:rPr>
                <w:rFonts w:ascii="仿宋" w:hAnsi="仿宋" w:eastAsia="仿宋" w:cs="仿宋"/>
                <w:sz w:val="24"/>
                <w:szCs w:val="24"/>
              </w:rPr>
            </w:pPr>
            <w:r>
              <w:rPr>
                <w:rFonts w:ascii="仿宋" w:hAnsi="仿宋" w:eastAsia="仿宋" w:cs="仿宋"/>
                <w:sz w:val="24"/>
                <w:szCs w:val="24"/>
              </w:rPr>
              <w:t>设立股东（大）会</w:t>
            </w:r>
            <w:r>
              <w:rPr>
                <w:rFonts w:hint="eastAsia" w:ascii="仿宋" w:hAnsi="仿宋" w:eastAsia="仿宋" w:cs="仿宋"/>
                <w:sz w:val="24"/>
                <w:szCs w:val="24"/>
              </w:rPr>
              <w:t>、</w:t>
            </w:r>
            <w:r>
              <w:rPr>
                <w:rFonts w:ascii="仿宋" w:hAnsi="仿宋" w:eastAsia="仿宋" w:cs="仿宋"/>
                <w:sz w:val="24"/>
                <w:szCs w:val="24"/>
              </w:rPr>
              <w:t>董事会</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董事</w:t>
            </w:r>
            <w:r>
              <w:rPr>
                <w:rFonts w:hint="eastAsia" w:ascii="仿宋" w:hAnsi="仿宋" w:eastAsia="仿宋" w:cs="仿宋"/>
                <w:sz w:val="24"/>
                <w:szCs w:val="24"/>
                <w:lang w:eastAsia="zh-CN"/>
              </w:rPr>
              <w:t>）</w:t>
            </w:r>
            <w:r>
              <w:rPr>
                <w:rFonts w:ascii="仿宋" w:hAnsi="仿宋" w:eastAsia="仿宋" w:cs="仿宋"/>
                <w:color w:val="auto"/>
                <w:sz w:val="24"/>
                <w:szCs w:val="24"/>
              </w:rPr>
              <w:t>、监事会</w:t>
            </w:r>
            <w:r>
              <w:rPr>
                <w:rFonts w:hint="eastAsia" w:ascii="仿宋" w:hAnsi="仿宋" w:eastAsia="仿宋" w:cs="仿宋"/>
                <w:color w:val="auto"/>
                <w:sz w:val="24"/>
                <w:szCs w:val="24"/>
              </w:rPr>
              <w:t>（监事）</w:t>
            </w:r>
            <w:r>
              <w:rPr>
                <w:rFonts w:hint="eastAsia" w:ascii="仿宋" w:hAnsi="仿宋" w:eastAsia="仿宋" w:cs="仿宋"/>
                <w:sz w:val="24"/>
                <w:szCs w:val="24"/>
              </w:rPr>
              <w:t>，实现三权分离</w:t>
            </w:r>
            <w:r>
              <w:rPr>
                <w:rFonts w:ascii="仿宋" w:hAnsi="仿宋" w:eastAsia="仿宋" w:cs="仿宋"/>
                <w:sz w:val="24"/>
                <w:szCs w:val="24"/>
              </w:rPr>
              <w:t>2</w:t>
            </w:r>
            <w:r>
              <w:rPr>
                <w:rFonts w:hint="eastAsia" w:ascii="仿宋" w:hAnsi="仿宋" w:eastAsia="仿宋" w:cs="仿宋"/>
                <w:sz w:val="24"/>
                <w:szCs w:val="24"/>
              </w:rPr>
              <w:t>分</w:t>
            </w:r>
          </w:p>
        </w:tc>
        <w:tc>
          <w:tcPr>
            <w:tcW w:w="1267" w:type="dxa"/>
            <w:noWrap w:val="0"/>
            <w:vAlign w:val="center"/>
          </w:tcPr>
          <w:p>
            <w:pPr>
              <w:jc w:val="left"/>
              <w:rPr>
                <w:rFonts w:ascii="仿宋" w:hAnsi="仿宋" w:eastAsia="仿宋" w:cs="仿宋"/>
                <w:sz w:val="24"/>
                <w:szCs w:val="24"/>
              </w:rPr>
            </w:pPr>
          </w:p>
        </w:tc>
        <w:tc>
          <w:tcPr>
            <w:tcW w:w="1289" w:type="dxa"/>
            <w:noWrap w:val="0"/>
            <w:vAlign w:val="center"/>
          </w:tcPr>
          <w:p>
            <w:pPr>
              <w:jc w:val="left"/>
              <w:rPr>
                <w:rFonts w:ascii="仿宋" w:hAnsi="仿宋" w:eastAsia="仿宋" w:cs="仿宋"/>
                <w:sz w:val="24"/>
                <w:szCs w:val="24"/>
              </w:rPr>
            </w:pPr>
          </w:p>
        </w:tc>
        <w:tc>
          <w:tcPr>
            <w:tcW w:w="1325" w:type="dxa"/>
            <w:gridSpan w:val="2"/>
            <w:noWrap w:val="0"/>
            <w:vAlign w:val="center"/>
          </w:tcPr>
          <w:p>
            <w:pPr>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82" w:type="dxa"/>
            <w:vMerge w:val="continue"/>
            <w:noWrap w:val="0"/>
            <w:vAlign w:val="center"/>
          </w:tcPr>
          <w:p>
            <w:pPr>
              <w:spacing w:line="360" w:lineRule="auto"/>
              <w:ind w:left="133" w:leftChars="-51" w:hanging="240" w:hangingChars="100"/>
              <w:jc w:val="center"/>
              <w:rPr>
                <w:rFonts w:ascii="Times New Roman" w:hAnsi="Times New Roman" w:eastAsia="仿宋_GB2312"/>
                <w:kern w:val="0"/>
                <w:sz w:val="24"/>
                <w:szCs w:val="24"/>
              </w:rPr>
            </w:pPr>
          </w:p>
        </w:tc>
        <w:tc>
          <w:tcPr>
            <w:tcW w:w="1707" w:type="dxa"/>
            <w:vMerge w:val="continue"/>
            <w:noWrap w:val="0"/>
            <w:vAlign w:val="center"/>
          </w:tcPr>
          <w:p>
            <w:pPr>
              <w:spacing w:line="360" w:lineRule="auto"/>
              <w:jc w:val="center"/>
              <w:rPr>
                <w:rFonts w:ascii="Times New Roman" w:hAnsi="Times New Roman" w:eastAsia="仿宋_GB2312"/>
                <w:kern w:val="0"/>
                <w:sz w:val="24"/>
                <w:szCs w:val="24"/>
              </w:rPr>
            </w:pP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按照公司法、章程规定召开股东（大）会、董事会、监事会 1分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182" w:type="dxa"/>
            <w:vMerge w:val="continue"/>
            <w:noWrap w:val="0"/>
            <w:vAlign w:val="center"/>
          </w:tcPr>
          <w:p>
            <w:pPr>
              <w:spacing w:line="360" w:lineRule="auto"/>
              <w:ind w:left="133" w:leftChars="-51" w:hanging="240" w:hangingChars="100"/>
              <w:jc w:val="center"/>
              <w:rPr>
                <w:rFonts w:ascii="Times New Roman" w:hAnsi="Times New Roman" w:eastAsia="仿宋_GB2312"/>
                <w:kern w:val="0"/>
                <w:sz w:val="24"/>
                <w:szCs w:val="24"/>
              </w:rPr>
            </w:pPr>
          </w:p>
        </w:tc>
        <w:tc>
          <w:tcPr>
            <w:tcW w:w="1707" w:type="dxa"/>
            <w:tcBorders>
              <w:bottom w:val="single" w:color="auto" w:sz="4" w:space="0"/>
            </w:tcBorders>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人力资源（2分）</w:t>
            </w:r>
          </w:p>
        </w:tc>
        <w:tc>
          <w:tcPr>
            <w:tcW w:w="7131" w:type="dxa"/>
            <w:gridSpan w:val="5"/>
            <w:tcBorders>
              <w:bottom w:val="single" w:color="auto" w:sz="4" w:space="0"/>
            </w:tcBorders>
            <w:noWrap w:val="0"/>
            <w:vAlign w:val="center"/>
          </w:tcPr>
          <w:p>
            <w:pPr>
              <w:jc w:val="left"/>
              <w:rPr>
                <w:rFonts w:hint="default" w:ascii="仿宋" w:hAnsi="仿宋" w:eastAsia="仿宋" w:cs="仿宋"/>
                <w:sz w:val="24"/>
                <w:szCs w:val="24"/>
                <w:lang w:val="en-US" w:eastAsia="zh-CN"/>
              </w:rPr>
            </w:pPr>
            <w:r>
              <w:rPr>
                <w:rFonts w:hint="eastAsia" w:ascii="仿宋" w:hAnsi="仿宋" w:eastAsia="仿宋" w:cs="仿宋"/>
                <w:sz w:val="24"/>
                <w:szCs w:val="24"/>
              </w:rPr>
              <w:t>董事、监事、高管人员无缺位，具备金融类、财经类相关业务经历和相应专业知识</w:t>
            </w:r>
            <w:r>
              <w:rPr>
                <w:rFonts w:hint="eastAsia" w:ascii="仿宋" w:hAnsi="仿宋" w:eastAsia="仿宋" w:cs="仿宋"/>
                <w:sz w:val="24"/>
                <w:szCs w:val="24"/>
                <w:lang w:val="en-US" w:eastAsia="zh-CN"/>
              </w:rPr>
              <w:t xml:space="preserve"> </w:t>
            </w:r>
          </w:p>
        </w:tc>
        <w:tc>
          <w:tcPr>
            <w:tcW w:w="1267" w:type="dxa"/>
            <w:tcBorders>
              <w:bottom w:val="single" w:color="auto" w:sz="4" w:space="0"/>
            </w:tcBorders>
            <w:noWrap w:val="0"/>
            <w:vAlign w:val="center"/>
          </w:tcPr>
          <w:p>
            <w:pPr>
              <w:jc w:val="left"/>
              <w:rPr>
                <w:rFonts w:hint="eastAsia" w:ascii="仿宋" w:hAnsi="仿宋" w:eastAsia="仿宋" w:cs="仿宋"/>
                <w:sz w:val="24"/>
                <w:szCs w:val="24"/>
              </w:rPr>
            </w:pPr>
          </w:p>
        </w:tc>
        <w:tc>
          <w:tcPr>
            <w:tcW w:w="1289" w:type="dxa"/>
            <w:tcBorders>
              <w:bottom w:val="single" w:color="auto" w:sz="4" w:space="0"/>
            </w:tcBorders>
            <w:noWrap w:val="0"/>
            <w:vAlign w:val="center"/>
          </w:tcPr>
          <w:p>
            <w:pPr>
              <w:jc w:val="left"/>
              <w:rPr>
                <w:rFonts w:hint="eastAsia" w:ascii="仿宋" w:hAnsi="仿宋" w:eastAsia="仿宋" w:cs="仿宋"/>
                <w:sz w:val="24"/>
                <w:szCs w:val="24"/>
              </w:rPr>
            </w:pPr>
          </w:p>
        </w:tc>
        <w:tc>
          <w:tcPr>
            <w:tcW w:w="1325" w:type="dxa"/>
            <w:gridSpan w:val="2"/>
            <w:tcBorders>
              <w:bottom w:val="single" w:color="auto" w:sz="4" w:space="0"/>
            </w:tcBorders>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股东、高管信用情况（</w:t>
            </w:r>
            <w:r>
              <w:rPr>
                <w:rFonts w:hint="eastAsia" w:ascii="仿宋" w:hAnsi="仿宋" w:eastAsia="仿宋" w:cs="仿宋"/>
                <w:sz w:val="24"/>
                <w:szCs w:val="24"/>
                <w:lang w:val="en-US" w:eastAsia="zh-CN"/>
              </w:rPr>
              <w:t>1</w:t>
            </w:r>
            <w:r>
              <w:rPr>
                <w:rFonts w:hint="eastAsia" w:ascii="仿宋" w:hAnsi="仿宋" w:eastAsia="仿宋" w:cs="仿宋"/>
                <w:sz w:val="24"/>
                <w:szCs w:val="24"/>
              </w:rPr>
              <w:t>分）</w:t>
            </w:r>
          </w:p>
        </w:tc>
        <w:tc>
          <w:tcPr>
            <w:tcW w:w="7131" w:type="dxa"/>
            <w:gridSpan w:val="5"/>
            <w:tcBorders>
              <w:bottom w:val="single" w:color="auto" w:sz="4" w:space="0"/>
            </w:tcBorders>
            <w:noWrap w:val="0"/>
            <w:vAlign w:val="center"/>
          </w:tcPr>
          <w:p>
            <w:pPr>
              <w:jc w:val="left"/>
              <w:rPr>
                <w:rFonts w:ascii="仿宋" w:hAnsi="仿宋" w:eastAsia="仿宋" w:cs="仿宋"/>
                <w:sz w:val="24"/>
                <w:szCs w:val="24"/>
              </w:rPr>
            </w:pPr>
            <w:r>
              <w:rPr>
                <w:rFonts w:hint="eastAsia" w:ascii="仿宋" w:hAnsi="仿宋" w:eastAsia="仿宋" w:cs="仿宋"/>
                <w:sz w:val="24"/>
                <w:szCs w:val="24"/>
              </w:rPr>
              <w:t>公司法定代表人、股东（控股股东或持股比例超过三分之一的股东）、高管人员受到刑事处罚、行政处罚或被列为失信被执行人，出现1起不计分。</w:t>
            </w:r>
          </w:p>
        </w:tc>
        <w:tc>
          <w:tcPr>
            <w:tcW w:w="1267" w:type="dxa"/>
            <w:tcBorders>
              <w:bottom w:val="single" w:color="auto" w:sz="4" w:space="0"/>
            </w:tcBorders>
            <w:noWrap w:val="0"/>
            <w:vAlign w:val="center"/>
          </w:tcPr>
          <w:p>
            <w:pPr>
              <w:jc w:val="left"/>
              <w:rPr>
                <w:rFonts w:hint="eastAsia" w:ascii="仿宋" w:hAnsi="仿宋" w:eastAsia="仿宋" w:cs="仿宋"/>
                <w:sz w:val="24"/>
                <w:szCs w:val="24"/>
              </w:rPr>
            </w:pPr>
          </w:p>
        </w:tc>
        <w:tc>
          <w:tcPr>
            <w:tcW w:w="1289" w:type="dxa"/>
            <w:tcBorders>
              <w:bottom w:val="single" w:color="auto" w:sz="4" w:space="0"/>
            </w:tcBorders>
            <w:noWrap w:val="0"/>
            <w:vAlign w:val="center"/>
          </w:tcPr>
          <w:p>
            <w:pPr>
              <w:jc w:val="left"/>
              <w:rPr>
                <w:rFonts w:hint="eastAsia" w:ascii="仿宋" w:hAnsi="仿宋" w:eastAsia="仿宋" w:cs="仿宋"/>
                <w:sz w:val="24"/>
                <w:szCs w:val="24"/>
              </w:rPr>
            </w:pPr>
          </w:p>
        </w:tc>
        <w:tc>
          <w:tcPr>
            <w:tcW w:w="1325" w:type="dxa"/>
            <w:gridSpan w:val="2"/>
            <w:tcBorders>
              <w:bottom w:val="single" w:color="auto" w:sz="4" w:space="0"/>
            </w:tcBorders>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资本金规模（3分）</w:t>
            </w:r>
          </w:p>
        </w:tc>
        <w:tc>
          <w:tcPr>
            <w:tcW w:w="7131" w:type="dxa"/>
            <w:gridSpan w:val="5"/>
            <w:tcBorders>
              <w:bottom w:val="single" w:color="auto" w:sz="4" w:space="0"/>
            </w:tcBorders>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注册资本（省、市）≥30000万元，计3分；20000万元≤注册资本（省、市）＜30000万元，计2.5分；10000万元≤注册资本（省、市）＜20000万元，计2分；注册资本（省、市）＜10000万元，计1分。</w:t>
            </w:r>
          </w:p>
          <w:p>
            <w:pPr>
              <w:jc w:val="left"/>
              <w:rPr>
                <w:rFonts w:ascii="仿宋" w:hAnsi="仿宋" w:eastAsia="仿宋" w:cs="仿宋"/>
                <w:sz w:val="24"/>
                <w:szCs w:val="24"/>
              </w:rPr>
            </w:pPr>
            <w:r>
              <w:rPr>
                <w:rFonts w:hint="eastAsia" w:ascii="仿宋" w:hAnsi="仿宋" w:eastAsia="仿宋" w:cs="仿宋"/>
                <w:sz w:val="24"/>
                <w:szCs w:val="24"/>
              </w:rPr>
              <w:t>注册资本（县）≥</w:t>
            </w:r>
            <w:r>
              <w:rPr>
                <w:rFonts w:ascii="仿宋" w:hAnsi="仿宋" w:eastAsia="仿宋" w:cs="仿宋"/>
                <w:sz w:val="24"/>
                <w:szCs w:val="24"/>
              </w:rPr>
              <w:t>2</w:t>
            </w:r>
            <w:r>
              <w:rPr>
                <w:rFonts w:hint="eastAsia" w:ascii="仿宋" w:hAnsi="仿宋" w:eastAsia="仿宋" w:cs="仿宋"/>
                <w:sz w:val="24"/>
                <w:szCs w:val="24"/>
              </w:rPr>
              <w:t>0000万元，计3分；</w:t>
            </w:r>
            <w:r>
              <w:rPr>
                <w:rFonts w:ascii="仿宋" w:hAnsi="仿宋" w:eastAsia="仿宋" w:cs="仿宋"/>
                <w:sz w:val="24"/>
                <w:szCs w:val="24"/>
              </w:rPr>
              <w:t>1</w:t>
            </w:r>
            <w:r>
              <w:rPr>
                <w:rFonts w:hint="eastAsia" w:ascii="仿宋" w:hAnsi="仿宋" w:eastAsia="仿宋" w:cs="仿宋"/>
                <w:sz w:val="24"/>
                <w:szCs w:val="24"/>
              </w:rPr>
              <w:t>0000万元≤注册资本（县）＜</w:t>
            </w:r>
            <w:r>
              <w:rPr>
                <w:rFonts w:ascii="仿宋" w:hAnsi="仿宋" w:eastAsia="仿宋" w:cs="仿宋"/>
                <w:sz w:val="24"/>
                <w:szCs w:val="24"/>
              </w:rPr>
              <w:t>2</w:t>
            </w:r>
            <w:r>
              <w:rPr>
                <w:rFonts w:hint="eastAsia" w:ascii="仿宋" w:hAnsi="仿宋" w:eastAsia="仿宋" w:cs="仿宋"/>
                <w:sz w:val="24"/>
                <w:szCs w:val="24"/>
              </w:rPr>
              <w:t>0000万元，计2.5分；</w:t>
            </w:r>
            <w:r>
              <w:rPr>
                <w:rFonts w:ascii="仿宋" w:hAnsi="仿宋" w:eastAsia="仿宋" w:cs="仿宋"/>
                <w:sz w:val="24"/>
                <w:szCs w:val="24"/>
              </w:rPr>
              <w:t>5000</w:t>
            </w:r>
            <w:r>
              <w:rPr>
                <w:rFonts w:hint="eastAsia" w:ascii="仿宋" w:hAnsi="仿宋" w:eastAsia="仿宋" w:cs="仿宋"/>
                <w:sz w:val="24"/>
                <w:szCs w:val="24"/>
              </w:rPr>
              <w:t>万元≤注册资本（县）＜</w:t>
            </w:r>
            <w:r>
              <w:rPr>
                <w:rFonts w:ascii="仿宋" w:hAnsi="仿宋" w:eastAsia="仿宋" w:cs="仿宋"/>
                <w:sz w:val="24"/>
                <w:szCs w:val="24"/>
              </w:rPr>
              <w:t>1</w:t>
            </w:r>
            <w:r>
              <w:rPr>
                <w:rFonts w:hint="eastAsia" w:ascii="仿宋" w:hAnsi="仿宋" w:eastAsia="仿宋" w:cs="仿宋"/>
                <w:sz w:val="24"/>
                <w:szCs w:val="24"/>
              </w:rPr>
              <w:t>0000万元，计2分；注册资本（县）＜</w:t>
            </w:r>
            <w:r>
              <w:rPr>
                <w:rFonts w:ascii="仿宋" w:hAnsi="仿宋" w:eastAsia="仿宋" w:cs="仿宋"/>
                <w:sz w:val="24"/>
                <w:szCs w:val="24"/>
              </w:rPr>
              <w:t>5000</w:t>
            </w:r>
            <w:r>
              <w:rPr>
                <w:rFonts w:hint="eastAsia" w:ascii="仿宋" w:hAnsi="仿宋" w:eastAsia="仿宋" w:cs="仿宋"/>
                <w:sz w:val="24"/>
                <w:szCs w:val="24"/>
              </w:rPr>
              <w:t>万元，计1分。</w:t>
            </w:r>
          </w:p>
        </w:tc>
        <w:tc>
          <w:tcPr>
            <w:tcW w:w="1267" w:type="dxa"/>
            <w:tcBorders>
              <w:bottom w:val="single" w:color="auto" w:sz="4" w:space="0"/>
            </w:tcBorders>
            <w:noWrap w:val="0"/>
            <w:vAlign w:val="center"/>
          </w:tcPr>
          <w:p>
            <w:pPr>
              <w:jc w:val="left"/>
              <w:rPr>
                <w:rFonts w:hint="eastAsia" w:ascii="仿宋" w:hAnsi="仿宋" w:eastAsia="仿宋" w:cs="仿宋"/>
                <w:sz w:val="24"/>
                <w:szCs w:val="24"/>
              </w:rPr>
            </w:pPr>
          </w:p>
        </w:tc>
        <w:tc>
          <w:tcPr>
            <w:tcW w:w="1289" w:type="dxa"/>
            <w:tcBorders>
              <w:bottom w:val="single" w:color="auto" w:sz="4" w:space="0"/>
            </w:tcBorders>
            <w:noWrap w:val="0"/>
            <w:vAlign w:val="center"/>
          </w:tcPr>
          <w:p>
            <w:pPr>
              <w:jc w:val="left"/>
              <w:rPr>
                <w:rFonts w:hint="eastAsia" w:ascii="仿宋" w:hAnsi="仿宋" w:eastAsia="仿宋" w:cs="仿宋"/>
                <w:sz w:val="24"/>
                <w:szCs w:val="24"/>
              </w:rPr>
            </w:pPr>
          </w:p>
        </w:tc>
        <w:tc>
          <w:tcPr>
            <w:tcW w:w="1325" w:type="dxa"/>
            <w:gridSpan w:val="2"/>
            <w:tcBorders>
              <w:bottom w:val="single" w:color="auto" w:sz="4" w:space="0"/>
            </w:tcBorders>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激励与约束机制的建立（2分）</w:t>
            </w:r>
          </w:p>
        </w:tc>
        <w:tc>
          <w:tcPr>
            <w:tcW w:w="7131" w:type="dxa"/>
            <w:gridSpan w:val="5"/>
            <w:tcBorders>
              <w:bottom w:val="single" w:color="auto" w:sz="4" w:space="0"/>
            </w:tcBorders>
            <w:noWrap w:val="0"/>
            <w:vAlign w:val="center"/>
          </w:tcPr>
          <w:p>
            <w:pPr>
              <w:jc w:val="left"/>
              <w:rPr>
                <w:rFonts w:ascii="仿宋" w:hAnsi="仿宋" w:eastAsia="仿宋" w:cs="仿宋"/>
                <w:sz w:val="24"/>
                <w:szCs w:val="24"/>
              </w:rPr>
            </w:pPr>
            <w:r>
              <w:rPr>
                <w:rFonts w:hint="eastAsia" w:ascii="仿宋" w:hAnsi="仿宋" w:eastAsia="仿宋" w:cs="仿宋"/>
                <w:sz w:val="24"/>
                <w:szCs w:val="24"/>
              </w:rPr>
              <w:t>激励约束机制健全、相应的制度建设完备、贯彻落实良好，计2分；部分执行良好计1分。</w:t>
            </w:r>
          </w:p>
        </w:tc>
        <w:tc>
          <w:tcPr>
            <w:tcW w:w="1267" w:type="dxa"/>
            <w:tcBorders>
              <w:bottom w:val="single" w:color="auto" w:sz="4" w:space="0"/>
            </w:tcBorders>
            <w:noWrap w:val="0"/>
            <w:vAlign w:val="center"/>
          </w:tcPr>
          <w:p>
            <w:pPr>
              <w:jc w:val="left"/>
              <w:rPr>
                <w:rFonts w:hint="eastAsia" w:ascii="仿宋" w:hAnsi="仿宋" w:eastAsia="仿宋" w:cs="仿宋"/>
                <w:sz w:val="24"/>
                <w:szCs w:val="24"/>
              </w:rPr>
            </w:pPr>
          </w:p>
        </w:tc>
        <w:tc>
          <w:tcPr>
            <w:tcW w:w="1289" w:type="dxa"/>
            <w:tcBorders>
              <w:bottom w:val="single" w:color="auto" w:sz="4" w:space="0"/>
            </w:tcBorders>
            <w:noWrap w:val="0"/>
            <w:vAlign w:val="center"/>
          </w:tcPr>
          <w:p>
            <w:pPr>
              <w:jc w:val="left"/>
              <w:rPr>
                <w:rFonts w:hint="eastAsia" w:ascii="仿宋" w:hAnsi="仿宋" w:eastAsia="仿宋" w:cs="仿宋"/>
                <w:sz w:val="24"/>
                <w:szCs w:val="24"/>
              </w:rPr>
            </w:pPr>
          </w:p>
        </w:tc>
        <w:tc>
          <w:tcPr>
            <w:tcW w:w="1325" w:type="dxa"/>
            <w:gridSpan w:val="2"/>
            <w:tcBorders>
              <w:bottom w:val="single" w:color="auto" w:sz="4" w:space="0"/>
            </w:tcBorders>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公司信用情况（</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tc>
        <w:tc>
          <w:tcPr>
            <w:tcW w:w="7131" w:type="dxa"/>
            <w:gridSpan w:val="5"/>
            <w:tcBorders>
              <w:bottom w:val="single" w:color="auto" w:sz="4" w:space="0"/>
            </w:tcBorders>
            <w:noWrap w:val="0"/>
            <w:vAlign w:val="center"/>
          </w:tcPr>
          <w:p>
            <w:pPr>
              <w:numPr>
                <w:ilvl w:val="0"/>
                <w:numId w:val="1"/>
              </w:numPr>
              <w:jc w:val="left"/>
              <w:rPr>
                <w:rFonts w:hint="eastAsia" w:ascii="仿宋" w:hAnsi="仿宋" w:eastAsia="仿宋" w:cs="仿宋"/>
                <w:sz w:val="24"/>
                <w:szCs w:val="24"/>
                <w:lang w:eastAsia="zh-CN"/>
              </w:rPr>
            </w:pPr>
            <w:r>
              <w:rPr>
                <w:rFonts w:hint="eastAsia" w:ascii="仿宋" w:hAnsi="仿宋" w:eastAsia="仿宋" w:cs="仿宋"/>
                <w:sz w:val="24"/>
                <w:szCs w:val="24"/>
              </w:rPr>
              <w:t>被列入人民法院失信被执行</w:t>
            </w:r>
            <w:r>
              <w:rPr>
                <w:rFonts w:hint="eastAsia" w:ascii="仿宋" w:hAnsi="仿宋" w:eastAsia="仿宋" w:cs="仿宋"/>
                <w:sz w:val="24"/>
                <w:szCs w:val="24"/>
                <w:lang w:val="en-US" w:eastAsia="zh-CN"/>
              </w:rPr>
              <w:t>企业</w:t>
            </w:r>
            <w:r>
              <w:rPr>
                <w:rFonts w:hint="eastAsia" w:ascii="仿宋" w:hAnsi="仿宋" w:eastAsia="仿宋" w:cs="仿宋"/>
                <w:sz w:val="24"/>
                <w:szCs w:val="24"/>
              </w:rPr>
              <w:t>名单的，此项不计分</w:t>
            </w:r>
            <w:r>
              <w:rPr>
                <w:rFonts w:hint="eastAsia" w:ascii="仿宋" w:hAnsi="仿宋" w:eastAsia="仿宋" w:cs="仿宋"/>
                <w:sz w:val="24"/>
                <w:szCs w:val="24"/>
                <w:lang w:eastAsia="zh-CN"/>
              </w:rPr>
              <w:t>；</w:t>
            </w:r>
          </w:p>
          <w:p>
            <w:pPr>
              <w:numPr>
                <w:ilvl w:val="0"/>
                <w:numId w:val="0"/>
              </w:numPr>
              <w:jc w:val="left"/>
              <w:rPr>
                <w:rFonts w:ascii="仿宋" w:hAnsi="仿宋" w:eastAsia="仿宋" w:cs="仿宋"/>
                <w:sz w:val="24"/>
                <w:szCs w:val="24"/>
              </w:rPr>
            </w:pPr>
            <w:r>
              <w:rPr>
                <w:rFonts w:hint="eastAsia" w:ascii="仿宋" w:hAnsi="仿宋" w:eastAsia="仿宋" w:cs="仿宋"/>
                <w:sz w:val="24"/>
                <w:szCs w:val="24"/>
              </w:rPr>
              <w:t xml:space="preserve">2.列入工商行政管理部门经营异常名录或者严重违法失信企业名单的，此项不计分； </w:t>
            </w:r>
          </w:p>
          <w:p>
            <w:pPr>
              <w:jc w:val="left"/>
              <w:rPr>
                <w:rFonts w:ascii="仿宋" w:hAnsi="仿宋" w:eastAsia="仿宋" w:cs="仿宋"/>
                <w:sz w:val="24"/>
                <w:szCs w:val="24"/>
              </w:rPr>
            </w:pPr>
            <w:r>
              <w:rPr>
                <w:rFonts w:hint="eastAsia" w:ascii="仿宋" w:hAnsi="仿宋" w:eastAsia="仿宋" w:cs="仿宋"/>
                <w:sz w:val="24"/>
                <w:szCs w:val="24"/>
              </w:rPr>
              <w:t>3.被全国信用信息共享平台归集和列入国家企业信用信息公示系统的其他领域失信黑名单的，此项不计分。</w:t>
            </w:r>
          </w:p>
        </w:tc>
        <w:tc>
          <w:tcPr>
            <w:tcW w:w="1267" w:type="dxa"/>
            <w:tcBorders>
              <w:bottom w:val="single" w:color="auto" w:sz="4" w:space="0"/>
            </w:tcBorders>
            <w:noWrap w:val="0"/>
            <w:vAlign w:val="center"/>
          </w:tcPr>
          <w:p>
            <w:pPr>
              <w:jc w:val="left"/>
              <w:rPr>
                <w:rFonts w:hint="eastAsia" w:ascii="仿宋" w:hAnsi="仿宋" w:eastAsia="仿宋" w:cs="仿宋"/>
                <w:sz w:val="24"/>
                <w:szCs w:val="24"/>
              </w:rPr>
            </w:pPr>
          </w:p>
        </w:tc>
        <w:tc>
          <w:tcPr>
            <w:tcW w:w="1289" w:type="dxa"/>
            <w:tcBorders>
              <w:bottom w:val="single" w:color="auto" w:sz="4" w:space="0"/>
            </w:tcBorders>
            <w:noWrap w:val="0"/>
            <w:vAlign w:val="center"/>
          </w:tcPr>
          <w:p>
            <w:pPr>
              <w:jc w:val="left"/>
              <w:rPr>
                <w:rFonts w:hint="eastAsia" w:ascii="仿宋" w:hAnsi="仿宋" w:eastAsia="仿宋" w:cs="仿宋"/>
                <w:sz w:val="24"/>
                <w:szCs w:val="24"/>
              </w:rPr>
            </w:pPr>
          </w:p>
        </w:tc>
        <w:tc>
          <w:tcPr>
            <w:tcW w:w="1325" w:type="dxa"/>
            <w:gridSpan w:val="2"/>
            <w:tcBorders>
              <w:bottom w:val="single" w:color="auto" w:sz="4" w:space="0"/>
            </w:tcBorders>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82" w:type="dxa"/>
            <w:vMerge w:val="restart"/>
            <w:noWrap w:val="0"/>
            <w:vAlign w:val="center"/>
          </w:tcPr>
          <w:p>
            <w:pPr>
              <w:spacing w:line="360" w:lineRule="auto"/>
              <w:ind w:left="-107" w:leftChars="-51"/>
              <w:jc w:val="center"/>
              <w:rPr>
                <w:rFonts w:ascii="Times New Roman" w:hAnsi="Times New Roman" w:eastAsia="仿宋_GB2312"/>
                <w:kern w:val="0"/>
                <w:sz w:val="24"/>
                <w:szCs w:val="24"/>
              </w:rPr>
            </w:pPr>
            <w:r>
              <w:rPr>
                <w:rFonts w:hint="eastAsia" w:ascii="仿宋" w:hAnsi="仿宋" w:eastAsia="仿宋" w:cs="仿宋"/>
                <w:sz w:val="28"/>
                <w:szCs w:val="28"/>
              </w:rPr>
              <w:t>公司经营与合规情况（30分）</w:t>
            </w:r>
          </w:p>
        </w:tc>
        <w:tc>
          <w:tcPr>
            <w:tcW w:w="1707" w:type="dxa"/>
            <w:vMerge w:val="restart"/>
            <w:noWrap w:val="0"/>
            <w:vAlign w:val="center"/>
          </w:tcPr>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资产比例管理</w:t>
            </w:r>
            <w:r>
              <w:rPr>
                <w:rFonts w:ascii="仿宋" w:hAnsi="仿宋" w:eastAsia="仿宋" w:cs="仿宋"/>
                <w:color w:val="000000"/>
                <w:sz w:val="24"/>
                <w:szCs w:val="24"/>
              </w:rPr>
              <w:t>情况</w:t>
            </w:r>
          </w:p>
          <w:p>
            <w:pPr>
              <w:spacing w:line="360" w:lineRule="auto"/>
              <w:jc w:val="center"/>
              <w:rPr>
                <w:rFonts w:ascii="仿宋" w:hAnsi="仿宋" w:eastAsia="仿宋" w:cs="仿宋"/>
                <w:sz w:val="24"/>
                <w:szCs w:val="24"/>
              </w:rPr>
            </w:pPr>
            <w:r>
              <w:rPr>
                <w:rFonts w:hint="eastAsia" w:ascii="仿宋" w:hAnsi="仿宋" w:eastAsia="仿宋" w:cs="仿宋"/>
                <w:color w:val="000000"/>
                <w:sz w:val="24"/>
                <w:szCs w:val="24"/>
              </w:rPr>
              <w:t>（7分）</w:t>
            </w: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融资担保公司净资产与未到期责任准备金、担保赔偿准备金之和不低于资产总额的60%。  2分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vMerge w:val="continue"/>
            <w:noWrap w:val="0"/>
            <w:vAlign w:val="center"/>
          </w:tcPr>
          <w:p>
            <w:pPr>
              <w:spacing w:line="360" w:lineRule="auto"/>
              <w:jc w:val="center"/>
              <w:rPr>
                <w:rFonts w:ascii="仿宋" w:hAnsi="仿宋" w:eastAsia="仿宋" w:cs="仿宋"/>
                <w:sz w:val="24"/>
                <w:szCs w:val="24"/>
              </w:rPr>
            </w:pP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融资担保公司I级资产、II级资产之和不得低于资产总额扣除应收代偿款后的70%</w:t>
            </w:r>
            <w:r>
              <w:rPr>
                <w:rFonts w:ascii="仿宋" w:hAnsi="仿宋" w:eastAsia="仿宋" w:cs="仿宋"/>
                <w:sz w:val="24"/>
                <w:szCs w:val="24"/>
              </w:rPr>
              <w:t xml:space="preserve"> </w:t>
            </w:r>
            <w:r>
              <w:rPr>
                <w:rFonts w:hint="eastAsia" w:ascii="仿宋" w:hAnsi="仿宋" w:eastAsia="仿宋" w:cs="仿宋"/>
                <w:sz w:val="24"/>
                <w:szCs w:val="24"/>
              </w:rPr>
              <w:t xml:space="preserve"> 2分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vMerge w:val="continue"/>
            <w:noWrap w:val="0"/>
            <w:vAlign w:val="center"/>
          </w:tcPr>
          <w:p>
            <w:pPr>
              <w:spacing w:line="360" w:lineRule="auto"/>
              <w:jc w:val="center"/>
              <w:rPr>
                <w:rFonts w:ascii="仿宋" w:hAnsi="仿宋" w:eastAsia="仿宋" w:cs="仿宋"/>
                <w:sz w:val="24"/>
                <w:szCs w:val="24"/>
              </w:rPr>
            </w:pP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I级资产不得低于资产总额扣除应收代偿款后的20%</w:t>
            </w:r>
            <w:r>
              <w:rPr>
                <w:rFonts w:ascii="仿宋" w:hAnsi="仿宋" w:eastAsia="仿宋" w:cs="仿宋"/>
                <w:sz w:val="24"/>
                <w:szCs w:val="24"/>
              </w:rPr>
              <w:t xml:space="preserve">  </w:t>
            </w:r>
            <w:r>
              <w:rPr>
                <w:rFonts w:hint="eastAsia" w:ascii="仿宋" w:hAnsi="仿宋" w:eastAsia="仿宋" w:cs="仿宋"/>
                <w:sz w:val="24"/>
                <w:szCs w:val="24"/>
              </w:rPr>
              <w:t>1分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vMerge w:val="continue"/>
            <w:noWrap w:val="0"/>
            <w:vAlign w:val="center"/>
          </w:tcPr>
          <w:p>
            <w:pPr>
              <w:spacing w:line="360" w:lineRule="auto"/>
              <w:jc w:val="center"/>
              <w:rPr>
                <w:rFonts w:ascii="仿宋" w:hAnsi="仿宋" w:eastAsia="仿宋" w:cs="仿宋"/>
                <w:sz w:val="24"/>
                <w:szCs w:val="24"/>
              </w:rPr>
            </w:pP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III级资产不得高于资产总额扣除应收代偿款后的30%</w:t>
            </w:r>
            <w:r>
              <w:rPr>
                <w:rFonts w:ascii="仿宋" w:hAnsi="仿宋" w:eastAsia="仿宋" w:cs="仿宋"/>
                <w:sz w:val="24"/>
                <w:szCs w:val="24"/>
              </w:rPr>
              <w:t xml:space="preserve"> </w:t>
            </w:r>
            <w:r>
              <w:rPr>
                <w:rFonts w:hint="eastAsia" w:ascii="仿宋" w:hAnsi="仿宋" w:eastAsia="仿宋" w:cs="仿宋"/>
                <w:sz w:val="24"/>
                <w:szCs w:val="24"/>
              </w:rPr>
              <w:t xml:space="preserve"> 1分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vMerge w:val="continue"/>
            <w:noWrap w:val="0"/>
            <w:vAlign w:val="center"/>
          </w:tcPr>
          <w:p>
            <w:pPr>
              <w:spacing w:line="360" w:lineRule="auto"/>
              <w:jc w:val="center"/>
              <w:rPr>
                <w:rFonts w:ascii="仿宋" w:hAnsi="仿宋" w:eastAsia="仿宋" w:cs="仿宋"/>
                <w:sz w:val="24"/>
                <w:szCs w:val="24"/>
              </w:rPr>
            </w:pPr>
          </w:p>
        </w:tc>
        <w:tc>
          <w:tcPr>
            <w:tcW w:w="7131" w:type="dxa"/>
            <w:gridSpan w:val="5"/>
            <w:noWrap w:val="0"/>
            <w:vAlign w:val="center"/>
          </w:tcPr>
          <w:p>
            <w:pPr>
              <w:rPr>
                <w:sz w:val="24"/>
              </w:rPr>
            </w:pPr>
            <w:r>
              <w:rPr>
                <w:rFonts w:hint="eastAsia" w:ascii="仿宋" w:hAnsi="仿宋" w:eastAsia="仿宋" w:cs="仿宋"/>
                <w:sz w:val="24"/>
                <w:szCs w:val="24"/>
              </w:rPr>
              <w:t>建立动态的资产比例管理机制，确保资产等各项风险指标符合规定比例</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1分</w:t>
            </w:r>
          </w:p>
        </w:tc>
        <w:tc>
          <w:tcPr>
            <w:tcW w:w="1267" w:type="dxa"/>
            <w:noWrap w:val="0"/>
            <w:vAlign w:val="center"/>
          </w:tcPr>
          <w:p>
            <w:pPr>
              <w:rPr>
                <w:rFonts w:hint="eastAsia" w:ascii="仿宋" w:hAnsi="仿宋" w:eastAsia="仿宋" w:cs="仿宋"/>
                <w:sz w:val="24"/>
                <w:szCs w:val="24"/>
              </w:rPr>
            </w:pPr>
          </w:p>
        </w:tc>
        <w:tc>
          <w:tcPr>
            <w:tcW w:w="1289" w:type="dxa"/>
            <w:noWrap w:val="0"/>
            <w:vAlign w:val="center"/>
          </w:tcPr>
          <w:p>
            <w:pPr>
              <w:rPr>
                <w:rFonts w:hint="eastAsia" w:ascii="仿宋" w:hAnsi="仿宋" w:eastAsia="仿宋" w:cs="仿宋"/>
                <w:sz w:val="24"/>
                <w:szCs w:val="24"/>
              </w:rPr>
            </w:pPr>
          </w:p>
        </w:tc>
        <w:tc>
          <w:tcPr>
            <w:tcW w:w="1325" w:type="dxa"/>
            <w:gridSpan w:val="2"/>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vMerge w:val="restart"/>
            <w:noWrap w:val="0"/>
            <w:vAlign w:val="center"/>
          </w:tcPr>
          <w:p>
            <w:pPr>
              <w:spacing w:line="360" w:lineRule="auto"/>
              <w:jc w:val="center"/>
              <w:rPr>
                <w:rFonts w:ascii="仿宋" w:hAnsi="仿宋" w:eastAsia="仿宋" w:cs="仿宋"/>
                <w:sz w:val="24"/>
                <w:szCs w:val="24"/>
              </w:rPr>
            </w:pPr>
            <w:r>
              <w:rPr>
                <w:rFonts w:ascii="仿宋" w:hAnsi="仿宋" w:eastAsia="仿宋" w:cs="仿宋"/>
                <w:sz w:val="24"/>
                <w:szCs w:val="24"/>
              </w:rPr>
              <w:t>客户保证金管理</w:t>
            </w:r>
            <w:r>
              <w:rPr>
                <w:rFonts w:hint="eastAsia" w:ascii="仿宋" w:hAnsi="仿宋" w:eastAsia="仿宋" w:cs="仿宋"/>
                <w:sz w:val="24"/>
                <w:szCs w:val="24"/>
              </w:rPr>
              <w:t>（2分）</w:t>
            </w:r>
          </w:p>
        </w:tc>
        <w:tc>
          <w:tcPr>
            <w:tcW w:w="7131" w:type="dxa"/>
            <w:gridSpan w:val="5"/>
            <w:noWrap w:val="0"/>
            <w:vAlign w:val="center"/>
          </w:tcPr>
          <w:p>
            <w:pPr>
              <w:jc w:val="left"/>
              <w:rPr>
                <w:rFonts w:hint="default" w:ascii="仿宋" w:hAnsi="仿宋" w:eastAsia="仿宋" w:cs="仿宋"/>
                <w:sz w:val="24"/>
                <w:szCs w:val="24"/>
                <w:lang w:val="en-US" w:eastAsia="zh-CN"/>
              </w:rPr>
            </w:pPr>
            <w:r>
              <w:rPr>
                <w:rFonts w:hint="eastAsia" w:ascii="仿宋" w:hAnsi="仿宋" w:eastAsia="仿宋" w:cs="仿宋"/>
                <w:sz w:val="24"/>
                <w:szCs w:val="24"/>
              </w:rPr>
              <w:t>实行专户管理，不与基本账户、一般账户等其他账户混用 1分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未收取客户保证金计1分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vMerge w:val="continue"/>
            <w:noWrap w:val="0"/>
            <w:vAlign w:val="center"/>
          </w:tcPr>
          <w:p>
            <w:pPr>
              <w:spacing w:line="360" w:lineRule="auto"/>
              <w:jc w:val="center"/>
              <w:rPr>
                <w:rFonts w:ascii="仿宋" w:hAnsi="仿宋" w:eastAsia="仿宋" w:cs="仿宋"/>
                <w:sz w:val="24"/>
                <w:szCs w:val="24"/>
              </w:rPr>
            </w:pPr>
          </w:p>
        </w:tc>
        <w:tc>
          <w:tcPr>
            <w:tcW w:w="7131" w:type="dxa"/>
            <w:gridSpan w:val="5"/>
            <w:noWrap w:val="0"/>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rPr>
              <w:t>按照</w:t>
            </w:r>
            <w:r>
              <w:rPr>
                <w:rFonts w:hint="eastAsia" w:ascii="仿宋" w:hAnsi="仿宋" w:eastAsia="仿宋" w:cs="仿宋"/>
                <w:sz w:val="24"/>
                <w:szCs w:val="24"/>
                <w:lang w:eastAsia="zh-CN"/>
              </w:rPr>
              <w:t>属地金融工作</w:t>
            </w:r>
            <w:r>
              <w:rPr>
                <w:rFonts w:hint="eastAsia" w:ascii="仿宋" w:hAnsi="仿宋" w:eastAsia="仿宋" w:cs="仿宋"/>
                <w:sz w:val="24"/>
                <w:szCs w:val="24"/>
              </w:rPr>
              <w:t>部门要求报送客户保证金账户管理情况 1分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未收取客户保证金计1分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担保比例（</w:t>
            </w:r>
            <w:r>
              <w:rPr>
                <w:rFonts w:ascii="仿宋" w:hAnsi="仿宋" w:eastAsia="仿宋" w:cs="仿宋"/>
                <w:sz w:val="24"/>
                <w:szCs w:val="24"/>
              </w:rPr>
              <w:t>4</w:t>
            </w:r>
            <w:r>
              <w:rPr>
                <w:rFonts w:hint="eastAsia" w:ascii="仿宋" w:hAnsi="仿宋" w:eastAsia="仿宋" w:cs="仿宋"/>
                <w:sz w:val="24"/>
                <w:szCs w:val="24"/>
              </w:rPr>
              <w:t>分）</w:t>
            </w:r>
          </w:p>
        </w:tc>
        <w:tc>
          <w:tcPr>
            <w:tcW w:w="7131" w:type="dxa"/>
            <w:gridSpan w:val="5"/>
            <w:noWrap w:val="0"/>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rPr>
              <w:t>对同一被担保人的担保责任余额与公司净资产的比例不得超过10%，对同一被担保人及其关联方的担保责任余额与公司净资产的比例不得超过15%</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出现</w:t>
            </w:r>
            <w:r>
              <w:rPr>
                <w:rFonts w:hint="eastAsia" w:ascii="仿宋" w:hAnsi="仿宋" w:eastAsia="仿宋" w:cs="仿宋"/>
                <w:sz w:val="24"/>
                <w:szCs w:val="24"/>
                <w:lang w:val="en-US" w:eastAsia="zh-CN"/>
              </w:rPr>
              <w:t>1</w:t>
            </w:r>
            <w:r>
              <w:rPr>
                <w:rFonts w:hint="eastAsia" w:ascii="仿宋" w:hAnsi="仿宋" w:eastAsia="仿宋" w:cs="仿宋"/>
                <w:sz w:val="24"/>
                <w:szCs w:val="24"/>
              </w:rPr>
              <w:t>例扣1分，0分为止</w:t>
            </w:r>
            <w:r>
              <w:rPr>
                <w:rFonts w:hint="eastAsia" w:ascii="仿宋" w:hAnsi="仿宋" w:eastAsia="仿宋" w:cs="仿宋"/>
                <w:sz w:val="24"/>
                <w:szCs w:val="24"/>
                <w:lang w:eastAsia="zh-CN"/>
              </w:rPr>
              <w:t>。</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vMerge w:val="restart"/>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关联交易（</w:t>
            </w:r>
            <w:r>
              <w:rPr>
                <w:rFonts w:ascii="仿宋" w:hAnsi="仿宋" w:eastAsia="仿宋" w:cs="仿宋"/>
                <w:sz w:val="24"/>
                <w:szCs w:val="24"/>
              </w:rPr>
              <w:t>4</w:t>
            </w:r>
            <w:r>
              <w:rPr>
                <w:rFonts w:hint="eastAsia" w:ascii="仿宋" w:hAnsi="仿宋" w:eastAsia="仿宋" w:cs="仿宋"/>
                <w:sz w:val="24"/>
                <w:szCs w:val="24"/>
              </w:rPr>
              <w:t>分）</w:t>
            </w: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不得为其控股股东、实际控制人提供融资担保 2分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vMerge w:val="continue"/>
            <w:noWrap w:val="0"/>
            <w:vAlign w:val="center"/>
          </w:tcPr>
          <w:p>
            <w:pPr>
              <w:spacing w:line="360" w:lineRule="auto"/>
              <w:jc w:val="center"/>
              <w:rPr>
                <w:rFonts w:ascii="仿宋" w:hAnsi="仿宋" w:eastAsia="仿宋" w:cs="仿宋"/>
                <w:color w:val="70AD47"/>
                <w:sz w:val="24"/>
                <w:szCs w:val="24"/>
              </w:rPr>
            </w:pP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为其他关联方提供融资担保的条件不得优于为非关联方提供同类担保的条件。且应当自为关联方提供融资担保之日起30日内向监督管理部门报告，并在会计报表附注中予以披露。2分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noWrap w:val="0"/>
            <w:vAlign w:val="center"/>
          </w:tcPr>
          <w:p>
            <w:pPr>
              <w:spacing w:line="360" w:lineRule="auto"/>
              <w:jc w:val="center"/>
              <w:rPr>
                <w:rFonts w:ascii="Times New Roman" w:hAnsi="Times New Roman" w:eastAsia="仿宋_GB2312"/>
                <w:kern w:val="0"/>
                <w:szCs w:val="21"/>
              </w:rPr>
            </w:pPr>
            <w:r>
              <w:rPr>
                <w:rFonts w:hint="eastAsia" w:ascii="仿宋" w:hAnsi="仿宋" w:eastAsia="仿宋" w:cs="仿宋"/>
                <w:sz w:val="24"/>
                <w:szCs w:val="24"/>
              </w:rPr>
              <w:t>服从监管情况（3分）</w:t>
            </w: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服从监管部门要求，执行相关监管规定，认真配合开展年审、现场检查及非现场监管工作，对监管提示问题及时改正。符合规定计3分，未在规定期限整改到位不</w:t>
            </w:r>
            <w:r>
              <w:rPr>
                <w:rFonts w:hint="eastAsia" w:ascii="仿宋" w:hAnsi="仿宋" w:eastAsia="仿宋" w:cs="仿宋"/>
                <w:sz w:val="24"/>
                <w:szCs w:val="24"/>
                <w:lang w:val="en-US" w:eastAsia="zh-CN"/>
              </w:rPr>
              <w:t>计分</w:t>
            </w:r>
            <w:r>
              <w:rPr>
                <w:rFonts w:hint="eastAsia" w:ascii="仿宋" w:hAnsi="仿宋" w:eastAsia="仿宋" w:cs="仿宋"/>
                <w:sz w:val="24"/>
                <w:szCs w:val="24"/>
              </w:rPr>
              <w:t>。</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noWrap w:val="0"/>
            <w:vAlign w:val="center"/>
          </w:tcPr>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监管平台信息录入情况</w:t>
            </w:r>
          </w:p>
          <w:p>
            <w:pPr>
              <w:spacing w:line="360" w:lineRule="auto"/>
              <w:jc w:val="center"/>
              <w:rPr>
                <w:rFonts w:ascii="仿宋" w:hAnsi="仿宋" w:eastAsia="仿宋" w:cs="仿宋"/>
                <w:sz w:val="24"/>
                <w:szCs w:val="24"/>
              </w:rPr>
            </w:pPr>
            <w:r>
              <w:rPr>
                <w:rFonts w:hint="eastAsia" w:ascii="仿宋" w:hAnsi="仿宋" w:eastAsia="仿宋" w:cs="仿宋"/>
                <w:color w:val="000000"/>
                <w:sz w:val="24"/>
                <w:szCs w:val="24"/>
              </w:rPr>
              <w:t>（5分）</w:t>
            </w: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明确专人或部门负责统计报送工作；公司高管人员基本情况、业务数据、财务数据录入完整、准确，出现变更后及时在监管系统进行更改。出现报送不及时或信息不完整</w:t>
            </w:r>
            <w:r>
              <w:rPr>
                <w:rFonts w:hint="eastAsia" w:ascii="仿宋" w:hAnsi="仿宋" w:eastAsia="仿宋" w:cs="仿宋"/>
                <w:sz w:val="24"/>
                <w:szCs w:val="24"/>
                <w:lang w:eastAsia="zh-CN"/>
              </w:rPr>
              <w:t>，</w:t>
            </w:r>
            <w:r>
              <w:rPr>
                <w:rFonts w:hint="eastAsia" w:ascii="仿宋" w:hAnsi="仿宋" w:eastAsia="仿宋" w:cs="仿宋"/>
                <w:sz w:val="24"/>
                <w:szCs w:val="24"/>
              </w:rPr>
              <w:t>一次扣</w:t>
            </w:r>
            <w:r>
              <w:rPr>
                <w:rFonts w:hint="eastAsia" w:ascii="仿宋" w:hAnsi="仿宋" w:eastAsia="仿宋" w:cs="仿宋"/>
                <w:sz w:val="24"/>
                <w:szCs w:val="24"/>
                <w:lang w:val="en-US" w:eastAsia="zh-CN"/>
              </w:rPr>
              <w:t>0.5</w:t>
            </w:r>
            <w:r>
              <w:rPr>
                <w:rFonts w:hint="eastAsia" w:ascii="仿宋" w:hAnsi="仿宋" w:eastAsia="仿宋" w:cs="仿宋"/>
                <w:sz w:val="24"/>
                <w:szCs w:val="24"/>
              </w:rPr>
              <w:t>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vMerge w:val="restart"/>
            <w:noWrap w:val="0"/>
            <w:vAlign w:val="center"/>
          </w:tcPr>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许可证管理使用情况</w:t>
            </w:r>
          </w:p>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（2分）</w:t>
            </w: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融资担保业务经营许可证遗失、损坏或载明内容变更的，应当向监督管理部门申请换发融资担保业务经营许可证 1分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vMerge w:val="continue"/>
            <w:noWrap w:val="0"/>
            <w:vAlign w:val="center"/>
          </w:tcPr>
          <w:p>
            <w:pPr>
              <w:spacing w:line="360" w:lineRule="auto"/>
              <w:jc w:val="center"/>
              <w:rPr>
                <w:rFonts w:ascii="仿宋" w:hAnsi="仿宋" w:eastAsia="仿宋" w:cs="仿宋"/>
                <w:color w:val="000000"/>
                <w:sz w:val="24"/>
                <w:szCs w:val="24"/>
              </w:rPr>
            </w:pP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融资担保业务经营许可证应当在融资担保公司营业场所的显著位置公示 1分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noWrap w:val="0"/>
            <w:vAlign w:val="center"/>
          </w:tcPr>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执行变更规定（3分）</w:t>
            </w: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未经批准，融资担保公司不得私自进行合并、分立、减资变更；其他备案变更事项应在市场监管部门变更后30日内向属地金融工作部门进行变更备案。符合规定得3分，发现</w:t>
            </w:r>
            <w:r>
              <w:rPr>
                <w:rFonts w:ascii="仿宋" w:hAnsi="仿宋" w:eastAsia="仿宋" w:cs="仿宋"/>
                <w:sz w:val="24"/>
                <w:szCs w:val="24"/>
              </w:rPr>
              <w:t>1</w:t>
            </w:r>
            <w:r>
              <w:rPr>
                <w:rFonts w:hint="eastAsia" w:ascii="仿宋" w:hAnsi="仿宋" w:eastAsia="仿宋" w:cs="仿宋"/>
                <w:sz w:val="24"/>
                <w:szCs w:val="24"/>
              </w:rPr>
              <w:t>次违规行为不得分。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182" w:type="dxa"/>
            <w:vMerge w:val="restart"/>
            <w:noWrap w:val="0"/>
            <w:vAlign w:val="center"/>
          </w:tcPr>
          <w:p>
            <w:pPr>
              <w:spacing w:line="360" w:lineRule="auto"/>
              <w:ind w:left="-107" w:leftChars="-51"/>
              <w:rPr>
                <w:rFonts w:ascii="Times New Roman" w:hAnsi="Times New Roman" w:eastAsia="仿宋_GB2312"/>
                <w:kern w:val="0"/>
                <w:sz w:val="24"/>
                <w:szCs w:val="24"/>
              </w:rPr>
            </w:pPr>
            <w:r>
              <w:rPr>
                <w:rFonts w:hint="eastAsia" w:ascii="仿宋" w:hAnsi="仿宋" w:eastAsia="仿宋" w:cs="仿宋"/>
                <w:sz w:val="28"/>
                <w:szCs w:val="28"/>
              </w:rPr>
              <w:t>公司</w:t>
            </w:r>
            <w:r>
              <w:rPr>
                <w:rFonts w:ascii="仿宋" w:hAnsi="仿宋" w:eastAsia="仿宋" w:cs="仿宋"/>
                <w:sz w:val="28"/>
                <w:szCs w:val="28"/>
              </w:rPr>
              <w:t>业务开展</w:t>
            </w:r>
            <w:r>
              <w:rPr>
                <w:rFonts w:hint="eastAsia" w:ascii="仿宋" w:hAnsi="仿宋" w:eastAsia="仿宋" w:cs="仿宋"/>
                <w:sz w:val="28"/>
                <w:szCs w:val="28"/>
              </w:rPr>
              <w:t>情况（政府性融资担保机构）</w:t>
            </w:r>
            <w:r>
              <w:rPr>
                <w:rFonts w:ascii="仿宋" w:hAnsi="仿宋" w:eastAsia="仿宋" w:cs="仿宋"/>
                <w:sz w:val="28"/>
                <w:szCs w:val="28"/>
              </w:rPr>
              <w:t xml:space="preserve"> （2</w:t>
            </w:r>
            <w:r>
              <w:rPr>
                <w:rFonts w:hint="eastAsia" w:ascii="仿宋" w:hAnsi="仿宋" w:eastAsia="仿宋" w:cs="仿宋"/>
                <w:sz w:val="28"/>
                <w:szCs w:val="28"/>
              </w:rPr>
              <w:t>5</w:t>
            </w:r>
            <w:r>
              <w:rPr>
                <w:rFonts w:ascii="仿宋" w:hAnsi="仿宋" w:eastAsia="仿宋" w:cs="仿宋"/>
                <w:sz w:val="28"/>
                <w:szCs w:val="28"/>
              </w:rPr>
              <w:t>分）</w:t>
            </w:r>
          </w:p>
        </w:tc>
        <w:tc>
          <w:tcPr>
            <w:tcW w:w="1707" w:type="dxa"/>
            <w:noWrap w:val="0"/>
            <w:vAlign w:val="center"/>
          </w:tcPr>
          <w:p>
            <w:pPr>
              <w:spacing w:line="360" w:lineRule="auto"/>
              <w:jc w:val="center"/>
              <w:rPr>
                <w:rFonts w:ascii="仿宋" w:hAnsi="仿宋" w:eastAsia="仿宋" w:cs="仿宋"/>
                <w:color w:val="FF0000"/>
                <w:sz w:val="24"/>
                <w:szCs w:val="24"/>
              </w:rPr>
            </w:pPr>
            <w:r>
              <w:rPr>
                <w:rFonts w:hint="eastAsia" w:ascii="仿宋" w:hAnsi="仿宋" w:eastAsia="仿宋" w:cs="仿宋"/>
                <w:sz w:val="24"/>
                <w:szCs w:val="24"/>
              </w:rPr>
              <w:t>当年新增小微企业和“三农”融资担保</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再担保</w:t>
            </w:r>
            <w:r>
              <w:rPr>
                <w:rFonts w:hint="eastAsia" w:ascii="仿宋" w:hAnsi="仿宋" w:eastAsia="仿宋" w:cs="仿宋"/>
                <w:sz w:val="24"/>
                <w:szCs w:val="24"/>
                <w:lang w:eastAsia="zh-CN"/>
              </w:rPr>
              <w:t>）</w:t>
            </w:r>
            <w:r>
              <w:rPr>
                <w:rFonts w:hint="eastAsia" w:ascii="仿宋" w:hAnsi="仿宋" w:eastAsia="仿宋" w:cs="仿宋"/>
                <w:sz w:val="24"/>
                <w:szCs w:val="24"/>
              </w:rPr>
              <w:t>金额占比（5分）</w:t>
            </w: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鼓励政府性融资担保机构重点支持“三农”、小微企业业务领域。当年新增 “三农”、小微企业</w:t>
            </w:r>
            <w:r>
              <w:rPr>
                <w:rFonts w:hint="eastAsia" w:ascii="仿宋" w:hAnsi="仿宋" w:eastAsia="仿宋" w:cs="仿宋"/>
                <w:sz w:val="24"/>
                <w:szCs w:val="24"/>
                <w:lang w:val="en-US" w:eastAsia="zh-CN"/>
              </w:rPr>
              <w:t>融资</w:t>
            </w:r>
            <w:r>
              <w:rPr>
                <w:rFonts w:hint="eastAsia" w:ascii="仿宋" w:hAnsi="仿宋" w:eastAsia="仿宋" w:cs="仿宋"/>
                <w:sz w:val="24"/>
                <w:szCs w:val="24"/>
              </w:rPr>
              <w:t>担保（再担保）余额合计占当年新增</w:t>
            </w:r>
            <w:r>
              <w:rPr>
                <w:rFonts w:hint="eastAsia" w:ascii="仿宋" w:hAnsi="仿宋" w:eastAsia="仿宋" w:cs="仿宋"/>
                <w:sz w:val="24"/>
                <w:szCs w:val="24"/>
                <w:lang w:val="en-US" w:eastAsia="zh-CN"/>
              </w:rPr>
              <w:t>融资</w:t>
            </w:r>
            <w:r>
              <w:rPr>
                <w:rFonts w:hint="eastAsia" w:ascii="仿宋" w:hAnsi="仿宋" w:eastAsia="仿宋" w:cs="仿宋"/>
                <w:sz w:val="24"/>
                <w:szCs w:val="24"/>
              </w:rPr>
              <w:t>担保余额的比例达到</w:t>
            </w:r>
            <w:r>
              <w:rPr>
                <w:rFonts w:ascii="仿宋" w:hAnsi="仿宋" w:eastAsia="仿宋" w:cs="仿宋"/>
                <w:sz w:val="24"/>
                <w:szCs w:val="24"/>
              </w:rPr>
              <w:t>80%的，得</w:t>
            </w:r>
            <w:r>
              <w:rPr>
                <w:rFonts w:hint="eastAsia" w:ascii="仿宋" w:hAnsi="仿宋" w:eastAsia="仿宋" w:cs="仿宋"/>
                <w:sz w:val="24"/>
                <w:szCs w:val="24"/>
              </w:rPr>
              <w:t>5</w:t>
            </w:r>
            <w:r>
              <w:rPr>
                <w:rFonts w:ascii="仿宋" w:hAnsi="仿宋" w:eastAsia="仿宋" w:cs="仿宋"/>
                <w:sz w:val="24"/>
                <w:szCs w:val="24"/>
              </w:rPr>
              <w:t>分，每下降</w:t>
            </w:r>
            <w:r>
              <w:rPr>
                <w:rFonts w:hint="eastAsia" w:ascii="仿宋" w:hAnsi="仿宋" w:eastAsia="仿宋" w:cs="仿宋"/>
                <w:sz w:val="24"/>
                <w:szCs w:val="24"/>
                <w:lang w:val="en-US" w:eastAsia="zh-CN"/>
              </w:rPr>
              <w:t>5</w:t>
            </w:r>
            <w:r>
              <w:rPr>
                <w:rFonts w:ascii="仿宋" w:hAnsi="仿宋" w:eastAsia="仿宋" w:cs="仿宋"/>
                <w:sz w:val="24"/>
                <w:szCs w:val="24"/>
              </w:rPr>
              <w:t>个百分点，扣</w:t>
            </w:r>
            <w:r>
              <w:rPr>
                <w:rFonts w:hint="eastAsia" w:ascii="仿宋" w:hAnsi="仿宋" w:eastAsia="仿宋" w:cs="仿宋"/>
                <w:sz w:val="24"/>
                <w:szCs w:val="24"/>
              </w:rPr>
              <w:t>0.5</w:t>
            </w:r>
            <w:r>
              <w:rPr>
                <w:rFonts w:ascii="仿宋" w:hAnsi="仿宋" w:eastAsia="仿宋" w:cs="仿宋"/>
                <w:sz w:val="24"/>
                <w:szCs w:val="24"/>
              </w:rPr>
              <w:t>分</w:t>
            </w:r>
            <w:r>
              <w:rPr>
                <w:rFonts w:hint="eastAsia" w:ascii="仿宋" w:hAnsi="仿宋" w:eastAsia="仿宋" w:cs="仿宋"/>
                <w:sz w:val="24"/>
                <w:szCs w:val="24"/>
              </w:rPr>
              <w:t>，最低计0分。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1182" w:type="dxa"/>
            <w:vMerge w:val="continue"/>
            <w:noWrap w:val="0"/>
            <w:vAlign w:val="center"/>
          </w:tcPr>
          <w:p>
            <w:pPr>
              <w:spacing w:line="360" w:lineRule="auto"/>
              <w:rPr>
                <w:rFonts w:ascii="Times New Roman" w:hAnsi="Times New Roman" w:eastAsia="仿宋_GB2312"/>
                <w:kern w:val="0"/>
                <w:sz w:val="24"/>
                <w:szCs w:val="24"/>
              </w:rPr>
            </w:pPr>
          </w:p>
        </w:tc>
        <w:tc>
          <w:tcPr>
            <w:tcW w:w="1707" w:type="dxa"/>
            <w:noWrap w:val="0"/>
            <w:vAlign w:val="center"/>
          </w:tcPr>
          <w:p>
            <w:pPr>
              <w:widowControl/>
              <w:jc w:val="center"/>
              <w:rPr>
                <w:rFonts w:ascii="仿宋" w:hAnsi="仿宋" w:eastAsia="仿宋" w:cs="仿宋"/>
                <w:sz w:val="24"/>
                <w:szCs w:val="24"/>
              </w:rPr>
            </w:pPr>
            <w:r>
              <w:rPr>
                <w:rFonts w:hint="eastAsia" w:ascii="仿宋" w:hAnsi="仿宋" w:eastAsia="仿宋" w:cs="仿宋"/>
                <w:sz w:val="24"/>
                <w:szCs w:val="24"/>
              </w:rPr>
              <w:t xml:space="preserve">当年新增小微企业和“三农”融资担保（再担保）户数（5分）  </w:t>
            </w:r>
            <w:r>
              <w:rPr>
                <w:rFonts w:hint="eastAsia" w:ascii="等线" w:hAnsi="等线" w:eastAsia="等线"/>
                <w:sz w:val="22"/>
              </w:rPr>
              <w:t xml:space="preserve">           </w:t>
            </w: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鼓励政府性融资担保机构重点支持“三农”、小微企业业务领域。当年新增“三农”、小微企业户数达到</w:t>
            </w:r>
            <w:r>
              <w:rPr>
                <w:rFonts w:hint="eastAsia" w:ascii="仿宋" w:hAnsi="仿宋" w:eastAsia="仿宋" w:cs="仿宋"/>
                <w:sz w:val="24"/>
                <w:szCs w:val="24"/>
                <w:lang w:val="en-US" w:eastAsia="zh-CN"/>
              </w:rPr>
              <w:t>新增</w:t>
            </w:r>
            <w:r>
              <w:rPr>
                <w:rFonts w:hint="eastAsia" w:ascii="仿宋" w:hAnsi="仿宋" w:eastAsia="仿宋" w:cs="仿宋"/>
                <w:sz w:val="24"/>
                <w:szCs w:val="24"/>
              </w:rPr>
              <w:t>总户数</w:t>
            </w:r>
            <w:r>
              <w:rPr>
                <w:rFonts w:ascii="仿宋" w:hAnsi="仿宋" w:eastAsia="仿宋" w:cs="仿宋"/>
                <w:sz w:val="24"/>
                <w:szCs w:val="24"/>
              </w:rPr>
              <w:t>80</w:t>
            </w:r>
            <w:r>
              <w:rPr>
                <w:rFonts w:hint="eastAsia" w:ascii="仿宋" w:hAnsi="仿宋" w:eastAsia="仿宋" w:cs="仿宋"/>
                <w:sz w:val="24"/>
                <w:szCs w:val="24"/>
              </w:rPr>
              <w:t>%，得</w:t>
            </w:r>
            <w:r>
              <w:rPr>
                <w:rFonts w:hint="eastAsia" w:ascii="仿宋" w:hAnsi="仿宋" w:eastAsia="仿宋" w:cs="仿宋"/>
                <w:sz w:val="24"/>
                <w:szCs w:val="24"/>
                <w:lang w:val="en-US" w:eastAsia="zh-CN"/>
              </w:rPr>
              <w:t>5</w:t>
            </w:r>
            <w:r>
              <w:rPr>
                <w:rFonts w:hint="eastAsia" w:ascii="仿宋" w:hAnsi="仿宋" w:eastAsia="仿宋" w:cs="仿宋"/>
                <w:sz w:val="24"/>
                <w:szCs w:val="24"/>
              </w:rPr>
              <w:t>分，每下降5个百分点，</w:t>
            </w:r>
            <w:r>
              <w:rPr>
                <w:rFonts w:ascii="仿宋" w:hAnsi="仿宋" w:eastAsia="仿宋" w:cs="仿宋"/>
                <w:sz w:val="24"/>
                <w:szCs w:val="24"/>
              </w:rPr>
              <w:t>扣</w:t>
            </w:r>
            <w:r>
              <w:rPr>
                <w:rFonts w:hint="eastAsia" w:ascii="仿宋" w:hAnsi="仿宋" w:eastAsia="仿宋" w:cs="仿宋"/>
                <w:sz w:val="24"/>
                <w:szCs w:val="24"/>
              </w:rPr>
              <w:t>0.5</w:t>
            </w:r>
            <w:r>
              <w:rPr>
                <w:rFonts w:ascii="仿宋" w:hAnsi="仿宋" w:eastAsia="仿宋" w:cs="仿宋"/>
                <w:sz w:val="24"/>
                <w:szCs w:val="24"/>
              </w:rPr>
              <w:t>分</w:t>
            </w:r>
            <w:r>
              <w:rPr>
                <w:rFonts w:hint="eastAsia" w:ascii="仿宋" w:hAnsi="仿宋" w:eastAsia="仿宋" w:cs="仿宋"/>
                <w:sz w:val="24"/>
                <w:szCs w:val="24"/>
              </w:rPr>
              <w:t>，最低计0分。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182" w:type="dxa"/>
            <w:vMerge w:val="continue"/>
            <w:noWrap w:val="0"/>
            <w:vAlign w:val="center"/>
          </w:tcPr>
          <w:p>
            <w:pPr>
              <w:spacing w:line="360" w:lineRule="auto"/>
              <w:rPr>
                <w:rFonts w:ascii="Times New Roman" w:hAnsi="Times New Roman" w:eastAsia="仿宋_GB2312"/>
                <w:kern w:val="0"/>
                <w:sz w:val="24"/>
                <w:szCs w:val="24"/>
              </w:rPr>
            </w:pPr>
          </w:p>
        </w:tc>
        <w:tc>
          <w:tcPr>
            <w:tcW w:w="1707"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当年新增单户500万元及以下融资担保（再担保）金额占比（5分）</w:t>
            </w: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鼓励政府性融资担保机构重点支持“三农”、小微企业业务领域。当年新增单户500万元及以下“三农”、小微企业担保（再担保）金额占</w:t>
            </w:r>
            <w:r>
              <w:rPr>
                <w:rFonts w:hint="eastAsia" w:ascii="仿宋" w:hAnsi="仿宋" w:eastAsia="仿宋" w:cs="仿宋"/>
                <w:sz w:val="24"/>
                <w:szCs w:val="24"/>
                <w:lang w:val="en-US" w:eastAsia="zh-CN"/>
              </w:rPr>
              <w:t>当年新增融资担保余额的</w:t>
            </w:r>
            <w:r>
              <w:rPr>
                <w:rFonts w:hint="eastAsia" w:ascii="仿宋" w:hAnsi="仿宋" w:eastAsia="仿宋" w:cs="仿宋"/>
                <w:sz w:val="24"/>
                <w:szCs w:val="24"/>
              </w:rPr>
              <w:t>比达到</w:t>
            </w:r>
            <w:r>
              <w:rPr>
                <w:rFonts w:ascii="仿宋" w:hAnsi="仿宋" w:eastAsia="仿宋" w:cs="仿宋"/>
                <w:sz w:val="24"/>
                <w:szCs w:val="24"/>
              </w:rPr>
              <w:t>50</w:t>
            </w:r>
            <w:r>
              <w:rPr>
                <w:rFonts w:hint="eastAsia" w:ascii="仿宋" w:hAnsi="仿宋" w:eastAsia="仿宋" w:cs="仿宋"/>
                <w:sz w:val="24"/>
                <w:szCs w:val="24"/>
              </w:rPr>
              <w:t>%，得</w:t>
            </w:r>
            <w:r>
              <w:rPr>
                <w:rFonts w:hint="eastAsia" w:ascii="仿宋" w:hAnsi="仿宋" w:eastAsia="仿宋" w:cs="仿宋"/>
                <w:sz w:val="24"/>
                <w:szCs w:val="24"/>
                <w:lang w:val="en-US" w:eastAsia="zh-CN"/>
              </w:rPr>
              <w:t>5</w:t>
            </w:r>
            <w:r>
              <w:rPr>
                <w:rFonts w:hint="eastAsia" w:ascii="仿宋" w:hAnsi="仿宋" w:eastAsia="仿宋" w:cs="仿宋"/>
                <w:sz w:val="24"/>
                <w:szCs w:val="24"/>
              </w:rPr>
              <w:t>分，每下降5个百分点，</w:t>
            </w:r>
            <w:r>
              <w:rPr>
                <w:rFonts w:ascii="仿宋" w:hAnsi="仿宋" w:eastAsia="仿宋" w:cs="仿宋"/>
                <w:sz w:val="24"/>
                <w:szCs w:val="24"/>
              </w:rPr>
              <w:t>扣</w:t>
            </w:r>
            <w:r>
              <w:rPr>
                <w:rFonts w:hint="eastAsia" w:ascii="仿宋" w:hAnsi="仿宋" w:eastAsia="仿宋" w:cs="仿宋"/>
                <w:sz w:val="24"/>
                <w:szCs w:val="24"/>
              </w:rPr>
              <w:t>0.5</w:t>
            </w:r>
            <w:r>
              <w:rPr>
                <w:rFonts w:ascii="仿宋" w:hAnsi="仿宋" w:eastAsia="仿宋" w:cs="仿宋"/>
                <w:sz w:val="24"/>
                <w:szCs w:val="24"/>
              </w:rPr>
              <w:t>分</w:t>
            </w:r>
            <w:r>
              <w:rPr>
                <w:rFonts w:hint="eastAsia" w:ascii="仿宋" w:hAnsi="仿宋" w:eastAsia="仿宋" w:cs="仿宋"/>
                <w:sz w:val="24"/>
                <w:szCs w:val="24"/>
              </w:rPr>
              <w:t>，最低计0分。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182" w:type="dxa"/>
            <w:vMerge w:val="continue"/>
            <w:noWrap w:val="0"/>
            <w:vAlign w:val="center"/>
          </w:tcPr>
          <w:p>
            <w:pPr>
              <w:spacing w:line="360" w:lineRule="auto"/>
              <w:rPr>
                <w:rFonts w:ascii="Times New Roman" w:hAnsi="Times New Roman" w:eastAsia="仿宋_GB2312"/>
                <w:kern w:val="0"/>
                <w:sz w:val="24"/>
                <w:szCs w:val="24"/>
              </w:rPr>
            </w:pPr>
          </w:p>
        </w:tc>
        <w:tc>
          <w:tcPr>
            <w:tcW w:w="1707"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color w:val="000000"/>
                <w:sz w:val="24"/>
                <w:szCs w:val="24"/>
              </w:rPr>
              <w:t>当年</w:t>
            </w:r>
            <w:r>
              <w:rPr>
                <w:rFonts w:ascii="仿宋" w:hAnsi="仿宋" w:eastAsia="仿宋" w:cs="仿宋"/>
                <w:color w:val="000000"/>
                <w:sz w:val="24"/>
                <w:szCs w:val="24"/>
              </w:rPr>
              <w:t>融资担保</w:t>
            </w:r>
            <w:r>
              <w:rPr>
                <w:rFonts w:hint="eastAsia" w:ascii="仿宋" w:hAnsi="仿宋" w:eastAsia="仿宋" w:cs="仿宋"/>
                <w:color w:val="000000"/>
                <w:sz w:val="24"/>
                <w:szCs w:val="24"/>
              </w:rPr>
              <w:t>（再担保）综合</w:t>
            </w:r>
            <w:r>
              <w:rPr>
                <w:rFonts w:ascii="仿宋" w:hAnsi="仿宋" w:eastAsia="仿宋" w:cs="仿宋"/>
                <w:color w:val="000000"/>
                <w:sz w:val="24"/>
                <w:szCs w:val="24"/>
              </w:rPr>
              <w:t>费率</w:t>
            </w:r>
            <w:r>
              <w:rPr>
                <w:rFonts w:hint="eastAsia" w:ascii="仿宋" w:hAnsi="仿宋" w:eastAsia="仿宋" w:cs="仿宋"/>
                <w:color w:val="000000"/>
                <w:sz w:val="24"/>
                <w:szCs w:val="24"/>
              </w:rPr>
              <w:t>（5分）</w:t>
            </w: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当年平均融资担保综合费率在2%/年（含）以下的，得</w:t>
            </w:r>
            <w:r>
              <w:rPr>
                <w:rFonts w:ascii="仿宋" w:hAnsi="仿宋" w:eastAsia="仿宋" w:cs="仿宋"/>
                <w:sz w:val="24"/>
                <w:szCs w:val="24"/>
              </w:rPr>
              <w:t>5</w:t>
            </w:r>
            <w:r>
              <w:rPr>
                <w:rFonts w:hint="eastAsia" w:ascii="仿宋" w:hAnsi="仿宋" w:eastAsia="仿宋" w:cs="仿宋"/>
                <w:sz w:val="24"/>
                <w:szCs w:val="24"/>
              </w:rPr>
              <w:t>分；每超过0.2个百分点，扣0.5分，最低计0分；当年平均融资再担保综合费率在1%/年（含）以下的，得</w:t>
            </w:r>
            <w:r>
              <w:rPr>
                <w:rFonts w:ascii="仿宋" w:hAnsi="仿宋" w:eastAsia="仿宋" w:cs="仿宋"/>
                <w:sz w:val="24"/>
                <w:szCs w:val="24"/>
              </w:rPr>
              <w:t>5</w:t>
            </w:r>
            <w:r>
              <w:rPr>
                <w:rFonts w:hint="eastAsia" w:ascii="仿宋" w:hAnsi="仿宋" w:eastAsia="仿宋" w:cs="仿宋"/>
                <w:sz w:val="24"/>
                <w:szCs w:val="24"/>
              </w:rPr>
              <w:t>分；每超过0.2个百分点，扣0.5分，最低计0分。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182" w:type="dxa"/>
            <w:vMerge w:val="continue"/>
            <w:noWrap w:val="0"/>
            <w:vAlign w:val="center"/>
          </w:tcPr>
          <w:p>
            <w:pPr>
              <w:spacing w:line="360" w:lineRule="auto"/>
              <w:rPr>
                <w:rFonts w:ascii="Times New Roman" w:hAnsi="Times New Roman" w:eastAsia="仿宋_GB2312"/>
                <w:kern w:val="0"/>
                <w:sz w:val="24"/>
                <w:szCs w:val="24"/>
              </w:rPr>
            </w:pPr>
          </w:p>
        </w:tc>
        <w:tc>
          <w:tcPr>
            <w:tcW w:w="1707" w:type="dxa"/>
            <w:noWrap w:val="0"/>
            <w:vAlign w:val="center"/>
          </w:tcPr>
          <w:p>
            <w:pPr>
              <w:spacing w:line="360" w:lineRule="auto"/>
              <w:jc w:val="center"/>
              <w:rPr>
                <w:rFonts w:ascii="仿宋" w:hAnsi="仿宋" w:eastAsia="仿宋" w:cs="仿宋"/>
                <w:sz w:val="24"/>
                <w:szCs w:val="24"/>
              </w:rPr>
            </w:pPr>
            <w:r>
              <w:rPr>
                <w:rFonts w:ascii="仿宋" w:hAnsi="仿宋" w:eastAsia="仿宋" w:cs="仿宋"/>
                <w:sz w:val="24"/>
                <w:szCs w:val="24"/>
              </w:rPr>
              <w:t>融资担保</w:t>
            </w:r>
            <w:r>
              <w:rPr>
                <w:rFonts w:hint="eastAsia" w:ascii="仿宋" w:hAnsi="仿宋" w:eastAsia="仿宋" w:cs="仿宋"/>
                <w:color w:val="000000"/>
                <w:sz w:val="24"/>
                <w:szCs w:val="24"/>
              </w:rPr>
              <w:t>在保余额</w:t>
            </w:r>
            <w:r>
              <w:rPr>
                <w:rFonts w:hint="eastAsia" w:ascii="仿宋" w:hAnsi="仿宋" w:eastAsia="仿宋" w:cs="仿宋"/>
                <w:sz w:val="24"/>
                <w:szCs w:val="24"/>
              </w:rPr>
              <w:t>放大倍数（5分）</w:t>
            </w: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以省级监管部门公布的上年全省平均放大倍数为基数，达到基数值得2.5分。每提高0</w:t>
            </w:r>
            <w:r>
              <w:rPr>
                <w:rFonts w:ascii="仿宋" w:hAnsi="仿宋" w:eastAsia="仿宋" w:cs="仿宋"/>
                <w:sz w:val="24"/>
                <w:szCs w:val="24"/>
              </w:rPr>
              <w:t>.5</w:t>
            </w:r>
            <w:r>
              <w:rPr>
                <w:rFonts w:hint="eastAsia" w:ascii="仿宋" w:hAnsi="仿宋" w:eastAsia="仿宋" w:cs="仿宋"/>
                <w:sz w:val="24"/>
                <w:szCs w:val="24"/>
              </w:rPr>
              <w:t>倍加0</w:t>
            </w:r>
            <w:r>
              <w:rPr>
                <w:rFonts w:ascii="仿宋" w:hAnsi="仿宋" w:eastAsia="仿宋" w:cs="仿宋"/>
                <w:sz w:val="24"/>
                <w:szCs w:val="24"/>
              </w:rPr>
              <w:t>.5</w:t>
            </w:r>
            <w:r>
              <w:rPr>
                <w:rFonts w:hint="eastAsia" w:ascii="仿宋" w:hAnsi="仿宋" w:eastAsia="仿宋" w:cs="仿宋"/>
                <w:sz w:val="24"/>
                <w:szCs w:val="24"/>
              </w:rPr>
              <w:t>分；每降低0</w:t>
            </w:r>
            <w:r>
              <w:rPr>
                <w:rFonts w:ascii="仿宋" w:hAnsi="仿宋" w:eastAsia="仿宋" w:cs="仿宋"/>
                <w:sz w:val="24"/>
                <w:szCs w:val="24"/>
              </w:rPr>
              <w:t>.2</w:t>
            </w:r>
            <w:r>
              <w:rPr>
                <w:rFonts w:hint="eastAsia" w:ascii="仿宋" w:hAnsi="仿宋" w:eastAsia="仿宋" w:cs="仿宋"/>
                <w:sz w:val="24"/>
                <w:szCs w:val="24"/>
              </w:rPr>
              <w:t>倍，扣0</w:t>
            </w:r>
            <w:r>
              <w:rPr>
                <w:rFonts w:ascii="仿宋" w:hAnsi="仿宋" w:eastAsia="仿宋" w:cs="仿宋"/>
                <w:sz w:val="24"/>
                <w:szCs w:val="24"/>
              </w:rPr>
              <w:t>.5</w:t>
            </w:r>
            <w:r>
              <w:rPr>
                <w:rFonts w:hint="eastAsia" w:ascii="仿宋" w:hAnsi="仿宋" w:eastAsia="仿宋" w:cs="仿宋"/>
                <w:sz w:val="24"/>
                <w:szCs w:val="24"/>
              </w:rPr>
              <w:t>分。融资担保公司的担保责任余额不得超过其净资产的10倍。小微企业和农户融资担保业务在保余额占比50%以上且户数占比80%以上的融资担保公司，倍数上限可以提高至15倍。若超过，此项计0分。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182" w:type="dxa"/>
            <w:vMerge w:val="restart"/>
            <w:noWrap w:val="0"/>
            <w:vAlign w:val="center"/>
          </w:tcPr>
          <w:p>
            <w:pPr>
              <w:spacing w:line="360" w:lineRule="auto"/>
              <w:rPr>
                <w:rFonts w:ascii="Times New Roman" w:hAnsi="Times New Roman" w:eastAsia="仿宋_GB2312"/>
                <w:kern w:val="0"/>
                <w:sz w:val="24"/>
                <w:szCs w:val="24"/>
              </w:rPr>
            </w:pPr>
            <w:r>
              <w:rPr>
                <w:rFonts w:hint="eastAsia" w:ascii="仿宋" w:hAnsi="仿宋" w:eastAsia="仿宋" w:cs="仿宋"/>
                <w:sz w:val="28"/>
                <w:szCs w:val="28"/>
              </w:rPr>
              <w:t>公司</w:t>
            </w:r>
            <w:r>
              <w:rPr>
                <w:rFonts w:ascii="仿宋" w:hAnsi="仿宋" w:eastAsia="仿宋" w:cs="仿宋"/>
                <w:sz w:val="28"/>
                <w:szCs w:val="28"/>
              </w:rPr>
              <w:t>业务开展</w:t>
            </w:r>
            <w:r>
              <w:rPr>
                <w:rFonts w:hint="eastAsia" w:ascii="仿宋" w:hAnsi="仿宋" w:eastAsia="仿宋" w:cs="仿宋"/>
                <w:sz w:val="28"/>
                <w:szCs w:val="28"/>
              </w:rPr>
              <w:t>情况（非政府性融资担保机构）</w:t>
            </w:r>
            <w:r>
              <w:rPr>
                <w:rFonts w:ascii="仿宋" w:hAnsi="仿宋" w:eastAsia="仿宋" w:cs="仿宋"/>
                <w:sz w:val="28"/>
                <w:szCs w:val="28"/>
              </w:rPr>
              <w:t>（2</w:t>
            </w:r>
            <w:r>
              <w:rPr>
                <w:rFonts w:hint="eastAsia" w:ascii="仿宋" w:hAnsi="仿宋" w:eastAsia="仿宋" w:cs="仿宋"/>
                <w:sz w:val="28"/>
                <w:szCs w:val="28"/>
              </w:rPr>
              <w:t>5</w:t>
            </w:r>
            <w:r>
              <w:rPr>
                <w:rFonts w:ascii="仿宋" w:hAnsi="仿宋" w:eastAsia="仿宋" w:cs="仿宋"/>
                <w:sz w:val="28"/>
                <w:szCs w:val="28"/>
              </w:rPr>
              <w:t>分）</w:t>
            </w:r>
          </w:p>
        </w:tc>
        <w:tc>
          <w:tcPr>
            <w:tcW w:w="1707" w:type="dxa"/>
            <w:vMerge w:val="restart"/>
            <w:noWrap w:val="0"/>
            <w:vAlign w:val="center"/>
          </w:tcPr>
          <w:p>
            <w:pPr>
              <w:spacing w:line="360" w:lineRule="auto"/>
              <w:jc w:val="center"/>
              <w:rPr>
                <w:rFonts w:ascii="仿宋" w:hAnsi="仿宋" w:eastAsia="仿宋" w:cs="仿宋"/>
                <w:sz w:val="24"/>
                <w:szCs w:val="24"/>
              </w:rPr>
            </w:pPr>
            <w:r>
              <w:rPr>
                <w:rFonts w:ascii="仿宋" w:hAnsi="仿宋" w:eastAsia="仿宋" w:cs="仿宋"/>
                <w:sz w:val="24"/>
                <w:szCs w:val="24"/>
              </w:rPr>
              <w:t>融资担保</w:t>
            </w:r>
            <w:r>
              <w:rPr>
                <w:rFonts w:hint="eastAsia" w:ascii="仿宋" w:hAnsi="仿宋" w:eastAsia="仿宋" w:cs="仿宋"/>
                <w:color w:val="000000"/>
                <w:sz w:val="24"/>
                <w:szCs w:val="24"/>
              </w:rPr>
              <w:t>在保余额</w:t>
            </w:r>
            <w:r>
              <w:rPr>
                <w:rFonts w:hint="eastAsia" w:ascii="仿宋" w:hAnsi="仿宋" w:eastAsia="仿宋" w:cs="仿宋"/>
                <w:sz w:val="24"/>
                <w:szCs w:val="24"/>
              </w:rPr>
              <w:t>放大倍数（5分）</w:t>
            </w: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以省级监管部门公布的上年全省平均放大倍数为基数，达到基数值得3分。每提高0</w:t>
            </w:r>
            <w:r>
              <w:rPr>
                <w:rFonts w:ascii="仿宋" w:hAnsi="仿宋" w:eastAsia="仿宋" w:cs="仿宋"/>
                <w:sz w:val="24"/>
                <w:szCs w:val="24"/>
              </w:rPr>
              <w:t>.5</w:t>
            </w:r>
            <w:r>
              <w:rPr>
                <w:rFonts w:hint="eastAsia" w:ascii="仿宋" w:hAnsi="仿宋" w:eastAsia="仿宋" w:cs="仿宋"/>
                <w:sz w:val="24"/>
                <w:szCs w:val="24"/>
              </w:rPr>
              <w:t>倍加0</w:t>
            </w:r>
            <w:r>
              <w:rPr>
                <w:rFonts w:ascii="仿宋" w:hAnsi="仿宋" w:eastAsia="仿宋" w:cs="仿宋"/>
                <w:sz w:val="24"/>
                <w:szCs w:val="24"/>
              </w:rPr>
              <w:t>.5</w:t>
            </w:r>
            <w:r>
              <w:rPr>
                <w:rFonts w:hint="eastAsia" w:ascii="仿宋" w:hAnsi="仿宋" w:eastAsia="仿宋" w:cs="仿宋"/>
                <w:sz w:val="24"/>
                <w:szCs w:val="24"/>
              </w:rPr>
              <w:t>分,满分5分；每降低0</w:t>
            </w:r>
            <w:r>
              <w:rPr>
                <w:rFonts w:ascii="仿宋" w:hAnsi="仿宋" w:eastAsia="仿宋" w:cs="仿宋"/>
                <w:sz w:val="24"/>
                <w:szCs w:val="24"/>
              </w:rPr>
              <w:t>.</w:t>
            </w:r>
            <w:r>
              <w:rPr>
                <w:rFonts w:hint="eastAsia" w:ascii="仿宋" w:hAnsi="仿宋" w:eastAsia="仿宋" w:cs="仿宋"/>
                <w:sz w:val="24"/>
                <w:szCs w:val="24"/>
              </w:rPr>
              <w:t>3倍减0</w:t>
            </w:r>
            <w:r>
              <w:rPr>
                <w:rFonts w:ascii="仿宋" w:hAnsi="仿宋" w:eastAsia="仿宋" w:cs="仿宋"/>
                <w:sz w:val="24"/>
                <w:szCs w:val="24"/>
              </w:rPr>
              <w:t>.5</w:t>
            </w:r>
            <w:r>
              <w:rPr>
                <w:rFonts w:hint="eastAsia" w:ascii="仿宋" w:hAnsi="仿宋" w:eastAsia="仿宋" w:cs="仿宋"/>
                <w:sz w:val="24"/>
                <w:szCs w:val="24"/>
              </w:rPr>
              <w:t>分，最低计0分。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182" w:type="dxa"/>
            <w:vMerge w:val="continue"/>
            <w:noWrap w:val="0"/>
            <w:vAlign w:val="center"/>
          </w:tcPr>
          <w:p>
            <w:pPr>
              <w:spacing w:line="360" w:lineRule="auto"/>
              <w:rPr>
                <w:rFonts w:ascii="仿宋" w:hAnsi="仿宋" w:eastAsia="仿宋" w:cs="仿宋"/>
                <w:sz w:val="28"/>
                <w:szCs w:val="28"/>
              </w:rPr>
            </w:pPr>
          </w:p>
        </w:tc>
        <w:tc>
          <w:tcPr>
            <w:tcW w:w="1707" w:type="dxa"/>
            <w:vMerge w:val="continue"/>
            <w:noWrap w:val="0"/>
            <w:vAlign w:val="center"/>
          </w:tcPr>
          <w:p>
            <w:pPr>
              <w:spacing w:line="360" w:lineRule="auto"/>
              <w:jc w:val="center"/>
              <w:rPr>
                <w:rFonts w:ascii="仿宋" w:hAnsi="仿宋" w:eastAsia="仿宋" w:cs="仿宋"/>
                <w:sz w:val="24"/>
                <w:szCs w:val="24"/>
              </w:rPr>
            </w:pP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融资担保公司的担保责任余额不得超过其净资产的10倍。小微企业和农户融资担保业务在保余额占比50%以上且户数占比80%以上的融资担保公司，倍数上限可以提高至15倍。若超过，此项计0分。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82" w:type="dxa"/>
            <w:vMerge w:val="continue"/>
            <w:noWrap w:val="0"/>
            <w:vAlign w:val="center"/>
          </w:tcPr>
          <w:p>
            <w:pPr>
              <w:spacing w:line="360" w:lineRule="auto"/>
              <w:rPr>
                <w:rFonts w:ascii="Times New Roman" w:hAnsi="Times New Roman" w:eastAsia="仿宋_GB2312"/>
                <w:kern w:val="0"/>
                <w:sz w:val="24"/>
                <w:szCs w:val="24"/>
              </w:rPr>
            </w:pPr>
          </w:p>
        </w:tc>
        <w:tc>
          <w:tcPr>
            <w:tcW w:w="1707"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盈利情况（</w:t>
            </w:r>
            <w:r>
              <w:rPr>
                <w:rFonts w:ascii="仿宋" w:hAnsi="仿宋" w:eastAsia="仿宋" w:cs="仿宋"/>
                <w:sz w:val="24"/>
                <w:szCs w:val="24"/>
              </w:rPr>
              <w:t>5</w:t>
            </w:r>
            <w:r>
              <w:rPr>
                <w:rFonts w:hint="eastAsia" w:ascii="仿宋" w:hAnsi="仿宋" w:eastAsia="仿宋" w:cs="仿宋"/>
                <w:sz w:val="24"/>
                <w:szCs w:val="24"/>
              </w:rPr>
              <w:t>分）</w:t>
            </w: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净资产利润率在</w:t>
            </w:r>
            <w:r>
              <w:rPr>
                <w:rFonts w:hint="eastAsia" w:ascii="仿宋" w:hAnsi="仿宋" w:eastAsia="仿宋" w:cs="仿宋"/>
                <w:color w:val="auto"/>
                <w:sz w:val="24"/>
                <w:szCs w:val="24"/>
                <w:lang w:val="en-US" w:eastAsia="zh-CN"/>
              </w:rPr>
              <w:t>1</w:t>
            </w:r>
            <w:r>
              <w:rPr>
                <w:rFonts w:ascii="仿宋" w:hAnsi="仿宋" w:eastAsia="仿宋" w:cs="仿宋"/>
                <w:color w:val="auto"/>
                <w:sz w:val="24"/>
                <w:szCs w:val="24"/>
              </w:rPr>
              <w:t>%（含</w:t>
            </w:r>
            <w:r>
              <w:rPr>
                <w:rFonts w:hint="eastAsia" w:ascii="仿宋" w:hAnsi="仿宋" w:eastAsia="仿宋" w:cs="仿宋"/>
                <w:sz w:val="24"/>
                <w:szCs w:val="24"/>
                <w:lang w:val="en-US" w:eastAsia="zh-CN"/>
              </w:rPr>
              <w:t>1</w:t>
            </w:r>
            <w:r>
              <w:rPr>
                <w:rFonts w:ascii="仿宋" w:hAnsi="仿宋" w:eastAsia="仿宋" w:cs="仿宋"/>
                <w:sz w:val="24"/>
                <w:szCs w:val="24"/>
              </w:rPr>
              <w:t>%）以上的，得5分</w:t>
            </w:r>
            <w:r>
              <w:rPr>
                <w:rFonts w:hint="eastAsia" w:ascii="仿宋" w:hAnsi="仿宋" w:eastAsia="仿宋" w:cs="仿宋"/>
                <w:sz w:val="24"/>
                <w:szCs w:val="24"/>
                <w:lang w:eastAsia="zh-CN"/>
              </w:rPr>
              <w:t>；</w:t>
            </w:r>
            <w:r>
              <w:rPr>
                <w:rFonts w:ascii="仿宋" w:hAnsi="仿宋" w:eastAsia="仿宋" w:cs="仿宋"/>
                <w:sz w:val="24"/>
                <w:szCs w:val="24"/>
              </w:rPr>
              <w:t>每下降0.</w:t>
            </w:r>
            <w:r>
              <w:rPr>
                <w:rFonts w:hint="eastAsia" w:ascii="仿宋" w:hAnsi="仿宋" w:eastAsia="仿宋" w:cs="仿宋"/>
                <w:sz w:val="24"/>
                <w:szCs w:val="24"/>
                <w:lang w:val="en-US" w:eastAsia="zh-CN"/>
              </w:rPr>
              <w:t>1</w:t>
            </w:r>
            <w:r>
              <w:rPr>
                <w:rFonts w:ascii="仿宋" w:hAnsi="仿宋" w:eastAsia="仿宋" w:cs="仿宋"/>
                <w:sz w:val="24"/>
                <w:szCs w:val="24"/>
              </w:rPr>
              <w:t>个百分点，扣0.5分。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182" w:type="dxa"/>
            <w:vMerge w:val="continue"/>
            <w:noWrap w:val="0"/>
            <w:vAlign w:val="center"/>
          </w:tcPr>
          <w:p>
            <w:pPr>
              <w:spacing w:line="360" w:lineRule="auto"/>
              <w:rPr>
                <w:rFonts w:ascii="Times New Roman" w:hAnsi="Times New Roman" w:eastAsia="仿宋_GB2312"/>
                <w:kern w:val="0"/>
                <w:sz w:val="24"/>
                <w:szCs w:val="24"/>
              </w:rPr>
            </w:pPr>
          </w:p>
        </w:tc>
        <w:tc>
          <w:tcPr>
            <w:tcW w:w="1707"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收入情况（5分）</w:t>
            </w: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当年营业收入超过上年营业收入5%及以上，得5分</w:t>
            </w:r>
            <w:r>
              <w:rPr>
                <w:rFonts w:hint="eastAsia" w:ascii="仿宋" w:hAnsi="仿宋" w:eastAsia="仿宋" w:cs="仿宋"/>
                <w:sz w:val="24"/>
                <w:szCs w:val="24"/>
                <w:lang w:eastAsia="zh-CN"/>
              </w:rPr>
              <w:t>；</w:t>
            </w:r>
            <w:r>
              <w:rPr>
                <w:rFonts w:hint="eastAsia" w:ascii="仿宋" w:hAnsi="仿宋" w:eastAsia="仿宋" w:cs="仿宋"/>
                <w:sz w:val="24"/>
                <w:szCs w:val="24"/>
              </w:rPr>
              <w:t>每下降0.5%，扣0.5分，最低计0分。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182" w:type="dxa"/>
            <w:vMerge w:val="continue"/>
            <w:noWrap w:val="0"/>
            <w:vAlign w:val="center"/>
          </w:tcPr>
          <w:p>
            <w:pPr>
              <w:spacing w:line="360" w:lineRule="auto"/>
              <w:rPr>
                <w:rFonts w:ascii="Times New Roman" w:hAnsi="Times New Roman" w:eastAsia="仿宋_GB2312"/>
                <w:kern w:val="0"/>
                <w:sz w:val="24"/>
                <w:szCs w:val="24"/>
              </w:rPr>
            </w:pPr>
          </w:p>
        </w:tc>
        <w:tc>
          <w:tcPr>
            <w:tcW w:w="1707"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融资担保额净增加值（5分）</w:t>
            </w:r>
          </w:p>
        </w:tc>
        <w:tc>
          <w:tcPr>
            <w:tcW w:w="7131" w:type="dxa"/>
            <w:gridSpan w:val="5"/>
            <w:noWrap w:val="0"/>
            <w:vAlign w:val="center"/>
          </w:tcPr>
          <w:p>
            <w:pPr>
              <w:jc w:val="left"/>
              <w:rPr>
                <w:rFonts w:hint="default" w:ascii="仿宋" w:hAnsi="仿宋" w:eastAsia="仿宋" w:cs="仿宋"/>
                <w:sz w:val="24"/>
                <w:szCs w:val="24"/>
                <w:lang w:val="en-US" w:eastAsia="zh-CN"/>
              </w:rPr>
            </w:pPr>
            <w:r>
              <w:rPr>
                <w:rFonts w:hint="eastAsia" w:ascii="仿宋" w:hAnsi="仿宋" w:eastAsia="仿宋" w:cs="仿宋"/>
                <w:sz w:val="24"/>
                <w:szCs w:val="24"/>
              </w:rPr>
              <w:t>当年融资担保额净增加值达到注册资本</w:t>
            </w:r>
            <w:r>
              <w:rPr>
                <w:rFonts w:hint="eastAsia" w:ascii="仿宋" w:hAnsi="仿宋" w:eastAsia="仿宋" w:cs="仿宋"/>
                <w:sz w:val="24"/>
                <w:szCs w:val="24"/>
                <w:lang w:val="en-US" w:eastAsia="zh-CN"/>
              </w:rPr>
              <w:t>3</w:t>
            </w:r>
            <w:r>
              <w:rPr>
                <w:rFonts w:hint="eastAsia" w:ascii="仿宋" w:hAnsi="仿宋" w:eastAsia="仿宋" w:cs="仿宋"/>
                <w:sz w:val="24"/>
                <w:szCs w:val="24"/>
              </w:rPr>
              <w:t>%及以上，得5分；每下降0.5%，扣0.5分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当年与上年持平，计2分；下降1%以内，计1分；下降1%以上，计0分。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2" w:type="dxa"/>
            <w:vMerge w:val="continue"/>
            <w:noWrap w:val="0"/>
            <w:vAlign w:val="center"/>
          </w:tcPr>
          <w:p>
            <w:pPr>
              <w:spacing w:line="360" w:lineRule="auto"/>
              <w:rPr>
                <w:rFonts w:ascii="Times New Roman" w:hAnsi="Times New Roman" w:eastAsia="仿宋_GB2312"/>
                <w:kern w:val="0"/>
                <w:sz w:val="24"/>
                <w:szCs w:val="24"/>
              </w:rPr>
            </w:pPr>
          </w:p>
        </w:tc>
        <w:tc>
          <w:tcPr>
            <w:tcW w:w="1707"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平均融资担保综合费率（5分）</w:t>
            </w: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当年平均融资担保综合费率在2.5%/年（含）以下的，得5分；每超过0.2个百分点，扣0.5分，最低计0分。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182" w:type="dxa"/>
            <w:vMerge w:val="restart"/>
            <w:noWrap w:val="0"/>
            <w:vAlign w:val="center"/>
          </w:tcPr>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sz w:val="32"/>
                <w:szCs w:val="32"/>
                <w:lang w:eastAsia="zh-CN"/>
              </w:rPr>
              <w:t>公司</w:t>
            </w:r>
            <w:r>
              <w:rPr>
                <w:rFonts w:hint="eastAsia" w:ascii="仿宋" w:hAnsi="仿宋" w:eastAsia="仿宋"/>
                <w:sz w:val="32"/>
                <w:szCs w:val="32"/>
              </w:rPr>
              <w:t>风险防范与内控制度情况</w:t>
            </w:r>
            <w:r>
              <w:rPr>
                <w:rFonts w:ascii="仿宋" w:hAnsi="仿宋" w:eastAsia="仿宋" w:cs="仿宋"/>
                <w:sz w:val="28"/>
                <w:szCs w:val="28"/>
              </w:rPr>
              <w:t xml:space="preserve"> </w:t>
            </w:r>
          </w:p>
          <w:p>
            <w:pPr>
              <w:spacing w:line="360" w:lineRule="auto"/>
              <w:ind w:left="-107" w:leftChars="-51"/>
              <w:jc w:val="center"/>
              <w:rPr>
                <w:rFonts w:ascii="Times New Roman" w:hAnsi="Times New Roman" w:eastAsia="仿宋_GB2312"/>
                <w:kern w:val="0"/>
                <w:sz w:val="24"/>
                <w:szCs w:val="24"/>
              </w:rPr>
            </w:pPr>
            <w:r>
              <w:rPr>
                <w:rFonts w:ascii="仿宋" w:hAnsi="仿宋" w:eastAsia="仿宋" w:cs="仿宋"/>
                <w:sz w:val="28"/>
                <w:szCs w:val="28"/>
              </w:rPr>
              <w:t>（</w:t>
            </w:r>
            <w:r>
              <w:rPr>
                <w:rFonts w:hint="eastAsia" w:ascii="仿宋" w:hAnsi="仿宋" w:eastAsia="仿宋" w:cs="仿宋"/>
                <w:sz w:val="28"/>
                <w:szCs w:val="28"/>
              </w:rPr>
              <w:t>30</w:t>
            </w:r>
            <w:r>
              <w:rPr>
                <w:rFonts w:ascii="仿宋" w:hAnsi="仿宋" w:eastAsia="仿宋" w:cs="仿宋"/>
                <w:sz w:val="28"/>
                <w:szCs w:val="28"/>
              </w:rPr>
              <w:t>分）</w:t>
            </w:r>
          </w:p>
        </w:tc>
        <w:tc>
          <w:tcPr>
            <w:tcW w:w="1707" w:type="dxa"/>
            <w:noWrap w:val="0"/>
            <w:vAlign w:val="center"/>
          </w:tcPr>
          <w:p>
            <w:pPr>
              <w:spacing w:line="360" w:lineRule="auto"/>
              <w:jc w:val="center"/>
              <w:rPr>
                <w:rFonts w:ascii="仿宋" w:hAnsi="仿宋" w:eastAsia="仿宋" w:cs="仿宋"/>
                <w:color w:val="000000"/>
                <w:sz w:val="24"/>
                <w:szCs w:val="24"/>
              </w:rPr>
            </w:pPr>
            <w:r>
              <w:rPr>
                <w:rFonts w:ascii="仿宋" w:hAnsi="仿宋" w:eastAsia="仿宋" w:cs="仿宋"/>
                <w:sz w:val="24"/>
                <w:szCs w:val="24"/>
              </w:rPr>
              <w:t>信息</w:t>
            </w:r>
            <w:r>
              <w:rPr>
                <w:rFonts w:hint="eastAsia" w:ascii="仿宋" w:hAnsi="仿宋" w:eastAsia="仿宋" w:cs="仿宋"/>
                <w:sz w:val="24"/>
                <w:szCs w:val="24"/>
              </w:rPr>
              <w:t>披露情况（3分）</w:t>
            </w: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及时向监管部门报送经营情况、资金运用情况、重大变更事项信息、有法定资格的会计师事务所出具的年度审计报告。</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82" w:type="dxa"/>
            <w:vMerge w:val="continue"/>
            <w:noWrap w:val="0"/>
            <w:vAlign w:val="center"/>
          </w:tcPr>
          <w:p>
            <w:pPr>
              <w:spacing w:line="360" w:lineRule="auto"/>
              <w:ind w:left="-107" w:leftChars="-51"/>
              <w:jc w:val="center"/>
              <w:rPr>
                <w:rFonts w:ascii="仿宋" w:hAnsi="仿宋" w:eastAsia="仿宋" w:cs="仿宋"/>
                <w:sz w:val="28"/>
                <w:szCs w:val="28"/>
              </w:rPr>
            </w:pPr>
          </w:p>
        </w:tc>
        <w:tc>
          <w:tcPr>
            <w:tcW w:w="1707"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重大风险事项披露情况</w:t>
            </w:r>
          </w:p>
          <w:p>
            <w:pPr>
              <w:spacing w:line="360" w:lineRule="auto"/>
              <w:jc w:val="center"/>
              <w:rPr>
                <w:rFonts w:ascii="仿宋" w:hAnsi="仿宋" w:eastAsia="仿宋" w:cs="仿宋"/>
                <w:sz w:val="24"/>
                <w:szCs w:val="24"/>
              </w:rPr>
            </w:pPr>
            <w:r>
              <w:rPr>
                <w:rFonts w:hint="eastAsia" w:ascii="仿宋" w:hAnsi="仿宋" w:eastAsia="仿宋" w:cs="仿宋"/>
                <w:sz w:val="24"/>
                <w:szCs w:val="24"/>
              </w:rPr>
              <w:t>（2分）</w:t>
            </w: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color w:val="auto"/>
                <w:sz w:val="24"/>
                <w:szCs w:val="24"/>
              </w:rPr>
              <w:t>如有重大风险事项</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如</w:t>
            </w:r>
            <w:r>
              <w:rPr>
                <w:rFonts w:hint="eastAsia" w:ascii="仿宋" w:hAnsi="仿宋" w:eastAsia="仿宋" w:cs="仿宋"/>
                <w:color w:val="auto"/>
                <w:sz w:val="24"/>
                <w:szCs w:val="24"/>
                <w:lang w:val="en-US" w:eastAsia="zh-CN"/>
              </w:rPr>
              <w:t>严重</w:t>
            </w:r>
            <w:r>
              <w:rPr>
                <w:rFonts w:hint="eastAsia" w:ascii="仿宋" w:hAnsi="仿宋" w:eastAsia="仿宋" w:cs="仿宋"/>
                <w:color w:val="auto"/>
                <w:sz w:val="24"/>
                <w:szCs w:val="24"/>
              </w:rPr>
              <w:t>流动性困难、出现破产风险、主要负责人下落不明或接受刑事调查、发生重大负面舆情影响持续经营、引发群体性事件、主要股东出现重大经营风险、董监高涉及违法、重大违规等），应及时向监</w:t>
            </w:r>
            <w:r>
              <w:rPr>
                <w:rFonts w:hint="eastAsia" w:ascii="仿宋" w:hAnsi="仿宋" w:eastAsia="仿宋" w:cs="仿宋"/>
                <w:sz w:val="24"/>
                <w:szCs w:val="24"/>
              </w:rPr>
              <w:t>管部门报告</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未报告不计分</w:t>
            </w:r>
            <w:r>
              <w:rPr>
                <w:rFonts w:hint="eastAsia" w:ascii="仿宋" w:hAnsi="仿宋" w:eastAsia="仿宋" w:cs="仿宋"/>
                <w:sz w:val="24"/>
                <w:szCs w:val="24"/>
              </w:rPr>
              <w:t>；如无重大风险事项需披露，此项计2分。</w:t>
            </w:r>
          </w:p>
        </w:tc>
        <w:tc>
          <w:tcPr>
            <w:tcW w:w="1267" w:type="dxa"/>
            <w:noWrap w:val="0"/>
            <w:vAlign w:val="center"/>
          </w:tcPr>
          <w:p>
            <w:pPr>
              <w:jc w:val="left"/>
              <w:rPr>
                <w:rFonts w:hint="eastAsia" w:ascii="仿宋" w:hAnsi="仿宋" w:eastAsia="仿宋" w:cs="仿宋"/>
                <w:color w:val="auto"/>
                <w:sz w:val="24"/>
                <w:szCs w:val="24"/>
              </w:rPr>
            </w:pPr>
          </w:p>
        </w:tc>
        <w:tc>
          <w:tcPr>
            <w:tcW w:w="1289" w:type="dxa"/>
            <w:noWrap w:val="0"/>
            <w:vAlign w:val="center"/>
          </w:tcPr>
          <w:p>
            <w:pPr>
              <w:jc w:val="left"/>
              <w:rPr>
                <w:rFonts w:hint="eastAsia" w:ascii="仿宋" w:hAnsi="仿宋" w:eastAsia="仿宋" w:cs="仿宋"/>
                <w:color w:val="auto"/>
                <w:sz w:val="24"/>
                <w:szCs w:val="24"/>
              </w:rPr>
            </w:pPr>
          </w:p>
        </w:tc>
        <w:tc>
          <w:tcPr>
            <w:tcW w:w="1325" w:type="dxa"/>
            <w:gridSpan w:val="2"/>
            <w:noWrap w:val="0"/>
            <w:vAlign w:val="center"/>
          </w:tcPr>
          <w:p>
            <w:pPr>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拨备覆盖率（5分）</w:t>
            </w: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拨备覆盖率≥</w:t>
            </w:r>
            <w:r>
              <w:rPr>
                <w:rFonts w:hint="eastAsia" w:ascii="仿宋" w:hAnsi="仿宋" w:eastAsia="仿宋" w:cs="仿宋"/>
                <w:sz w:val="24"/>
                <w:szCs w:val="24"/>
                <w:lang w:val="en-US" w:eastAsia="zh-CN"/>
              </w:rPr>
              <w:t>40</w:t>
            </w:r>
            <w:r>
              <w:rPr>
                <w:rFonts w:hint="eastAsia" w:ascii="仿宋" w:hAnsi="仿宋" w:eastAsia="仿宋" w:cs="仿宋"/>
                <w:sz w:val="24"/>
                <w:szCs w:val="24"/>
              </w:rPr>
              <w:t>%，计5分；</w:t>
            </w:r>
            <w:r>
              <w:rPr>
                <w:rFonts w:hint="eastAsia" w:ascii="仿宋" w:hAnsi="仿宋" w:eastAsia="仿宋" w:cs="仿宋"/>
                <w:sz w:val="24"/>
                <w:szCs w:val="24"/>
                <w:lang w:val="en-US" w:eastAsia="zh-CN"/>
              </w:rPr>
              <w:t>35</w:t>
            </w:r>
            <w:r>
              <w:rPr>
                <w:rFonts w:hint="eastAsia" w:ascii="仿宋" w:hAnsi="仿宋" w:eastAsia="仿宋" w:cs="仿宋"/>
                <w:sz w:val="24"/>
                <w:szCs w:val="24"/>
              </w:rPr>
              <w:t>%≤拨备覆盖率＜</w:t>
            </w:r>
            <w:r>
              <w:rPr>
                <w:rFonts w:hint="eastAsia" w:ascii="仿宋" w:hAnsi="仿宋" w:eastAsia="仿宋" w:cs="仿宋"/>
                <w:sz w:val="24"/>
                <w:szCs w:val="24"/>
                <w:lang w:val="en-US" w:eastAsia="zh-CN"/>
              </w:rPr>
              <w:t>40</w:t>
            </w:r>
            <w:r>
              <w:rPr>
                <w:rFonts w:hint="eastAsia" w:ascii="仿宋" w:hAnsi="仿宋" w:eastAsia="仿宋" w:cs="仿宋"/>
                <w:sz w:val="24"/>
                <w:szCs w:val="24"/>
              </w:rPr>
              <w:t>%，计4分；30%</w:t>
            </w:r>
            <w:r>
              <w:rPr>
                <w:rFonts w:ascii="仿宋" w:hAnsi="仿宋" w:eastAsia="仿宋" w:cs="仿宋"/>
                <w:sz w:val="24"/>
                <w:szCs w:val="24"/>
              </w:rPr>
              <w:t xml:space="preserve"> </w:t>
            </w:r>
            <w:r>
              <w:rPr>
                <w:rFonts w:hint="eastAsia" w:ascii="仿宋" w:hAnsi="仿宋" w:eastAsia="仿宋" w:cs="仿宋"/>
                <w:sz w:val="24"/>
                <w:szCs w:val="24"/>
              </w:rPr>
              <w:t>≤拨备覆盖率＜</w:t>
            </w:r>
            <w:r>
              <w:rPr>
                <w:rFonts w:hint="eastAsia" w:ascii="仿宋" w:hAnsi="仿宋" w:eastAsia="仿宋" w:cs="仿宋"/>
                <w:sz w:val="24"/>
                <w:szCs w:val="24"/>
                <w:lang w:val="en-US" w:eastAsia="zh-CN"/>
              </w:rPr>
              <w:t>35</w:t>
            </w:r>
            <w:r>
              <w:rPr>
                <w:rFonts w:hint="eastAsia" w:ascii="仿宋" w:hAnsi="仿宋" w:eastAsia="仿宋" w:cs="仿宋"/>
                <w:sz w:val="24"/>
                <w:szCs w:val="24"/>
              </w:rPr>
              <w:t>%，计3分；</w:t>
            </w:r>
            <w:r>
              <w:rPr>
                <w:rFonts w:hint="eastAsia" w:ascii="仿宋" w:hAnsi="仿宋" w:eastAsia="仿宋" w:cs="仿宋"/>
                <w:sz w:val="24"/>
                <w:szCs w:val="24"/>
                <w:lang w:val="en-US" w:eastAsia="zh-CN"/>
              </w:rPr>
              <w:t>25</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≤拨备覆盖率＜30%，计2分；</w:t>
            </w:r>
            <w:r>
              <w:rPr>
                <w:rFonts w:hint="eastAsia" w:ascii="仿宋" w:hAnsi="仿宋" w:eastAsia="仿宋" w:cs="仿宋"/>
                <w:sz w:val="24"/>
                <w:szCs w:val="24"/>
                <w:lang w:val="en-US" w:eastAsia="zh-CN"/>
              </w:rPr>
              <w:t>20</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≤拨备覆盖率＜</w:t>
            </w:r>
            <w:r>
              <w:rPr>
                <w:rFonts w:hint="eastAsia" w:ascii="仿宋" w:hAnsi="仿宋" w:eastAsia="仿宋" w:cs="仿宋"/>
                <w:sz w:val="24"/>
                <w:szCs w:val="24"/>
                <w:lang w:val="en-US" w:eastAsia="zh-CN"/>
              </w:rPr>
              <w:t>25</w:t>
            </w:r>
            <w:r>
              <w:rPr>
                <w:rFonts w:hint="eastAsia" w:ascii="仿宋" w:hAnsi="仿宋" w:eastAsia="仿宋" w:cs="仿宋"/>
                <w:sz w:val="24"/>
                <w:szCs w:val="24"/>
              </w:rPr>
              <w:t>%，计1分；拨备覆盖率＜</w:t>
            </w:r>
            <w:r>
              <w:rPr>
                <w:rFonts w:hint="eastAsia" w:ascii="仿宋" w:hAnsi="仿宋" w:eastAsia="仿宋" w:cs="仿宋"/>
                <w:sz w:val="24"/>
                <w:szCs w:val="24"/>
                <w:lang w:val="en-US" w:eastAsia="zh-CN"/>
              </w:rPr>
              <w:t>2</w:t>
            </w:r>
            <w:r>
              <w:rPr>
                <w:rFonts w:hint="eastAsia" w:ascii="仿宋" w:hAnsi="仿宋" w:eastAsia="仿宋" w:cs="仿宋"/>
                <w:sz w:val="24"/>
                <w:szCs w:val="24"/>
              </w:rPr>
              <w:t>0%，不得分。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noWrap w:val="0"/>
            <w:vAlign w:val="center"/>
          </w:tcPr>
          <w:p>
            <w:pPr>
              <w:spacing w:line="360" w:lineRule="auto"/>
              <w:jc w:val="center"/>
              <w:rPr>
                <w:rFonts w:ascii="仿宋" w:hAnsi="仿宋" w:eastAsia="仿宋" w:cs="仿宋"/>
                <w:sz w:val="24"/>
                <w:szCs w:val="24"/>
              </w:rPr>
            </w:pPr>
            <w:r>
              <w:rPr>
                <w:rFonts w:ascii="仿宋" w:hAnsi="仿宋" w:eastAsia="仿宋" w:cs="仿宋"/>
                <w:sz w:val="24"/>
                <w:szCs w:val="24"/>
              </w:rPr>
              <w:t>风险准备金提取</w:t>
            </w:r>
            <w:r>
              <w:rPr>
                <w:rFonts w:hint="eastAsia" w:ascii="仿宋" w:hAnsi="仿宋" w:eastAsia="仿宋" w:cs="仿宋"/>
                <w:sz w:val="24"/>
                <w:szCs w:val="24"/>
              </w:rPr>
              <w:t>（5分）</w:t>
            </w: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应当按照当年担保费收入的50%提取未到期责任准备金,并按不低于当年年末担保责任余额1%的比例提取担保赔偿准备金。</w:t>
            </w:r>
          </w:p>
          <w:p>
            <w:pPr>
              <w:jc w:val="left"/>
              <w:rPr>
                <w:rFonts w:ascii="仿宋" w:hAnsi="仿宋" w:eastAsia="仿宋" w:cs="仿宋"/>
                <w:sz w:val="24"/>
                <w:szCs w:val="24"/>
              </w:rPr>
            </w:pPr>
            <w:r>
              <w:rPr>
                <w:rFonts w:hint="eastAsia" w:ascii="仿宋" w:hAnsi="仿宋" w:eastAsia="仿宋" w:cs="仿宋"/>
                <w:sz w:val="24"/>
                <w:szCs w:val="24"/>
              </w:rPr>
              <w:t>担保赔偿准备金累计达到当年担保责任余额10%的,实行差额提取。融资性担保公司提取的担保赔偿准备金,要存入银行专户,可以作为与银行合作的担保保证金。</w:t>
            </w:r>
          </w:p>
          <w:p>
            <w:pPr>
              <w:jc w:val="left"/>
              <w:rPr>
                <w:rFonts w:ascii="仿宋" w:hAnsi="仿宋" w:eastAsia="仿宋" w:cs="仿宋"/>
                <w:sz w:val="24"/>
                <w:szCs w:val="24"/>
              </w:rPr>
            </w:pPr>
            <w:r>
              <w:rPr>
                <w:rFonts w:hint="eastAsia" w:ascii="仿宋" w:hAnsi="仿宋" w:eastAsia="仿宋" w:cs="仿宋"/>
                <w:sz w:val="24"/>
                <w:szCs w:val="24"/>
              </w:rPr>
              <w:t>其中一项准备金不按规定提取的，</w:t>
            </w:r>
            <w:r>
              <w:rPr>
                <w:rFonts w:hint="eastAsia" w:ascii="仿宋" w:hAnsi="仿宋" w:eastAsia="仿宋" w:cs="仿宋"/>
                <w:sz w:val="24"/>
                <w:szCs w:val="24"/>
                <w:lang w:val="en-US" w:eastAsia="zh-CN"/>
              </w:rPr>
              <w:t>扣</w:t>
            </w:r>
            <w:r>
              <w:rPr>
                <w:rFonts w:ascii="仿宋" w:hAnsi="仿宋" w:eastAsia="仿宋" w:cs="仿宋"/>
                <w:sz w:val="24"/>
                <w:szCs w:val="24"/>
              </w:rPr>
              <w:t>2.5分。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担保（再担保）</w:t>
            </w:r>
            <w:r>
              <w:rPr>
                <w:rFonts w:ascii="仿宋" w:hAnsi="仿宋" w:eastAsia="仿宋" w:cs="仿宋"/>
                <w:sz w:val="24"/>
                <w:szCs w:val="24"/>
              </w:rPr>
              <w:t>代偿</w:t>
            </w:r>
            <w:r>
              <w:rPr>
                <w:rFonts w:hint="eastAsia" w:ascii="仿宋" w:hAnsi="仿宋" w:eastAsia="仿宋" w:cs="仿宋"/>
                <w:sz w:val="24"/>
                <w:szCs w:val="24"/>
              </w:rPr>
              <w:t>率</w:t>
            </w:r>
          </w:p>
          <w:p>
            <w:pPr>
              <w:spacing w:line="360" w:lineRule="auto"/>
              <w:jc w:val="center"/>
              <w:rPr>
                <w:rFonts w:ascii="仿宋" w:hAnsi="仿宋" w:eastAsia="仿宋" w:cs="仿宋"/>
                <w:sz w:val="24"/>
                <w:szCs w:val="24"/>
              </w:rPr>
            </w:pPr>
            <w:r>
              <w:rPr>
                <w:rFonts w:hint="eastAsia" w:ascii="仿宋" w:hAnsi="仿宋" w:eastAsia="仿宋" w:cs="仿宋"/>
                <w:sz w:val="24"/>
                <w:szCs w:val="24"/>
              </w:rPr>
              <w:t>（5分）</w:t>
            </w: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以省级监管部门公布的上年政府性融资担保机构与非政府性融资担保机构的全省平均代偿率分别为基数，达到上年平均代偿率的得3分，每降低0</w:t>
            </w:r>
            <w:r>
              <w:rPr>
                <w:rFonts w:ascii="仿宋" w:hAnsi="仿宋" w:eastAsia="仿宋" w:cs="仿宋"/>
                <w:sz w:val="24"/>
                <w:szCs w:val="24"/>
              </w:rPr>
              <w:t>.5%</w:t>
            </w:r>
            <w:r>
              <w:rPr>
                <w:rFonts w:hint="eastAsia" w:ascii="仿宋" w:hAnsi="仿宋" w:eastAsia="仿宋" w:cs="仿宋"/>
                <w:sz w:val="24"/>
                <w:szCs w:val="24"/>
              </w:rPr>
              <w:t>，加0</w:t>
            </w:r>
            <w:r>
              <w:rPr>
                <w:rFonts w:ascii="仿宋" w:hAnsi="仿宋" w:eastAsia="仿宋" w:cs="仿宋"/>
                <w:sz w:val="24"/>
                <w:szCs w:val="24"/>
              </w:rPr>
              <w:t>.5</w:t>
            </w:r>
            <w:r>
              <w:rPr>
                <w:rFonts w:hint="eastAsia" w:ascii="仿宋" w:hAnsi="仿宋" w:eastAsia="仿宋" w:cs="仿宋"/>
                <w:sz w:val="24"/>
                <w:szCs w:val="24"/>
              </w:rPr>
              <w:t>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满分5分；每增加0.5%，扣0.5分，最少为0分</w:t>
            </w:r>
            <w:r>
              <w:rPr>
                <w:rFonts w:hint="eastAsia" w:ascii="仿宋" w:hAnsi="仿宋" w:eastAsia="仿宋" w:cs="仿宋"/>
                <w:sz w:val="24"/>
                <w:szCs w:val="24"/>
              </w:rPr>
              <w:t>。</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vMerge w:val="restart"/>
            <w:noWrap w:val="0"/>
            <w:vAlign w:val="center"/>
          </w:tcPr>
          <w:p>
            <w:pPr>
              <w:spacing w:line="360" w:lineRule="auto"/>
              <w:jc w:val="center"/>
              <w:rPr>
                <w:rFonts w:hint="eastAsia" w:ascii="仿宋" w:hAnsi="仿宋" w:eastAsia="仿宋" w:cs="仿宋"/>
                <w:sz w:val="24"/>
                <w:szCs w:val="24"/>
              </w:rPr>
            </w:pPr>
            <w:r>
              <w:rPr>
                <w:rFonts w:ascii="仿宋" w:hAnsi="仿宋" w:eastAsia="仿宋" w:cs="仿宋"/>
                <w:sz w:val="24"/>
                <w:szCs w:val="24"/>
              </w:rPr>
              <w:t>内控制度建设</w:t>
            </w:r>
            <w:r>
              <w:rPr>
                <w:rFonts w:hint="eastAsia" w:ascii="仿宋" w:hAnsi="仿宋" w:eastAsia="仿宋" w:cs="仿宋"/>
                <w:sz w:val="24"/>
                <w:szCs w:val="24"/>
              </w:rPr>
              <w:t>(</w:t>
            </w:r>
            <w:r>
              <w:rPr>
                <w:rFonts w:ascii="仿宋" w:hAnsi="仿宋" w:eastAsia="仿宋" w:cs="仿宋"/>
                <w:sz w:val="24"/>
                <w:szCs w:val="24"/>
              </w:rPr>
              <w:t>10</w:t>
            </w:r>
            <w:r>
              <w:rPr>
                <w:rFonts w:hint="eastAsia" w:ascii="仿宋" w:hAnsi="仿宋" w:eastAsia="仿宋" w:cs="仿宋"/>
                <w:sz w:val="24"/>
                <w:szCs w:val="24"/>
              </w:rPr>
              <w:t>分</w:t>
            </w:r>
            <w:r>
              <w:rPr>
                <w:rFonts w:ascii="仿宋" w:hAnsi="仿宋" w:eastAsia="仿宋" w:cs="仿宋"/>
                <w:sz w:val="24"/>
                <w:szCs w:val="24"/>
              </w:rPr>
              <w:t>)</w:t>
            </w: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制定确保内部管理工作正常开展的管理制度，包括担保</w:t>
            </w:r>
            <w:r>
              <w:rPr>
                <w:rFonts w:hint="eastAsia" w:ascii="仿宋" w:hAnsi="仿宋" w:eastAsia="仿宋" w:cs="仿宋"/>
                <w:sz w:val="24"/>
                <w:szCs w:val="24"/>
                <w:lang w:val="en-US" w:eastAsia="zh-CN"/>
              </w:rPr>
              <w:t>评审</w:t>
            </w:r>
            <w:r>
              <w:rPr>
                <w:rFonts w:hint="eastAsia" w:ascii="仿宋" w:hAnsi="仿宋" w:eastAsia="仿宋" w:cs="仿宋"/>
                <w:sz w:val="24"/>
                <w:szCs w:val="24"/>
              </w:rPr>
              <w:t>制度、决策程序、事后追偿和处置制度、风险预警机制和突发事件应急机制，并能有效执行，且定期评价完善。2分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vMerge w:val="continue"/>
            <w:noWrap w:val="0"/>
            <w:vAlign w:val="center"/>
          </w:tcPr>
          <w:p>
            <w:pPr>
              <w:spacing w:line="360" w:lineRule="auto"/>
              <w:jc w:val="center"/>
              <w:rPr>
                <w:rFonts w:ascii="仿宋" w:hAnsi="仿宋" w:eastAsia="仿宋" w:cs="仿宋"/>
                <w:sz w:val="24"/>
                <w:szCs w:val="24"/>
              </w:rPr>
            </w:pP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建立完善财务制度，如实反映财务状况。 1分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vMerge w:val="continue"/>
            <w:noWrap w:val="0"/>
            <w:vAlign w:val="center"/>
          </w:tcPr>
          <w:p>
            <w:pPr>
              <w:spacing w:line="360" w:lineRule="auto"/>
              <w:jc w:val="center"/>
              <w:rPr>
                <w:rFonts w:ascii="仿宋" w:hAnsi="仿宋" w:eastAsia="仿宋" w:cs="仿宋"/>
                <w:color w:val="70AD47"/>
                <w:sz w:val="24"/>
                <w:szCs w:val="24"/>
              </w:rPr>
            </w:pP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制定业务操作流程，规范项目受理、评审、审批、签约承保、保后监管、代偿、追偿等全部业务环节的工作流程、操作规则和运行机制，具有符合法律、法规、规章、政策和公司章程要求的明确的项目评审标准。</w:t>
            </w:r>
            <w:r>
              <w:rPr>
                <w:rFonts w:ascii="仿宋" w:hAnsi="仿宋" w:eastAsia="仿宋" w:cs="仿宋"/>
                <w:sz w:val="24"/>
                <w:szCs w:val="24"/>
              </w:rPr>
              <w:t xml:space="preserve"> </w:t>
            </w:r>
            <w:r>
              <w:rPr>
                <w:rFonts w:hint="eastAsia" w:ascii="仿宋" w:hAnsi="仿宋" w:eastAsia="仿宋" w:cs="仿宋"/>
                <w:sz w:val="24"/>
                <w:szCs w:val="24"/>
              </w:rPr>
              <w:t>3分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vMerge w:val="continue"/>
            <w:noWrap w:val="0"/>
            <w:vAlign w:val="center"/>
          </w:tcPr>
          <w:p>
            <w:pPr>
              <w:spacing w:line="360" w:lineRule="auto"/>
              <w:jc w:val="center"/>
              <w:rPr>
                <w:rFonts w:ascii="仿宋" w:hAnsi="仿宋" w:eastAsia="仿宋" w:cs="仿宋"/>
                <w:color w:val="70AD47"/>
                <w:sz w:val="24"/>
                <w:szCs w:val="24"/>
              </w:rPr>
            </w:pP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明确担保费收取标准，禁止以手续费、评估费等名义变相收取担保费。 2分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182"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1707" w:type="dxa"/>
            <w:vMerge w:val="continue"/>
            <w:noWrap w:val="0"/>
            <w:vAlign w:val="center"/>
          </w:tcPr>
          <w:p>
            <w:pPr>
              <w:spacing w:line="360" w:lineRule="auto"/>
              <w:jc w:val="center"/>
              <w:rPr>
                <w:rFonts w:ascii="仿宋" w:hAnsi="仿宋" w:eastAsia="仿宋" w:cs="仿宋"/>
                <w:color w:val="70AD47"/>
                <w:sz w:val="24"/>
                <w:szCs w:val="24"/>
              </w:rPr>
            </w:pPr>
          </w:p>
        </w:tc>
        <w:tc>
          <w:tcPr>
            <w:tcW w:w="7131" w:type="dxa"/>
            <w:gridSpan w:val="5"/>
            <w:noWrap w:val="0"/>
            <w:vAlign w:val="center"/>
          </w:tcPr>
          <w:p>
            <w:pPr>
              <w:jc w:val="left"/>
              <w:rPr>
                <w:rFonts w:ascii="仿宋" w:hAnsi="仿宋" w:eastAsia="仿宋" w:cs="仿宋"/>
                <w:sz w:val="24"/>
                <w:szCs w:val="24"/>
              </w:rPr>
            </w:pPr>
            <w:r>
              <w:rPr>
                <w:rFonts w:hint="eastAsia" w:ascii="仿宋" w:hAnsi="仿宋" w:eastAsia="仿宋" w:cs="仿宋"/>
                <w:sz w:val="24"/>
                <w:szCs w:val="24"/>
              </w:rPr>
              <w:t>融资担保项目发生代偿时，依据法律和合同约定切实履行担保人的权利和义务，及时对被担保人和反担保人的相关财产采取必要保全措施。 2分</w:t>
            </w:r>
          </w:p>
        </w:tc>
        <w:tc>
          <w:tcPr>
            <w:tcW w:w="1267" w:type="dxa"/>
            <w:noWrap w:val="0"/>
            <w:vAlign w:val="center"/>
          </w:tcPr>
          <w:p>
            <w:pPr>
              <w:jc w:val="left"/>
              <w:rPr>
                <w:rFonts w:hint="eastAsia" w:ascii="仿宋" w:hAnsi="仿宋" w:eastAsia="仿宋" w:cs="仿宋"/>
                <w:sz w:val="24"/>
                <w:szCs w:val="24"/>
              </w:rPr>
            </w:pPr>
          </w:p>
        </w:tc>
        <w:tc>
          <w:tcPr>
            <w:tcW w:w="1289" w:type="dxa"/>
            <w:noWrap w:val="0"/>
            <w:vAlign w:val="center"/>
          </w:tcPr>
          <w:p>
            <w:pPr>
              <w:jc w:val="left"/>
              <w:rPr>
                <w:rFonts w:hint="eastAsia" w:ascii="仿宋" w:hAnsi="仿宋" w:eastAsia="仿宋" w:cs="仿宋"/>
                <w:sz w:val="24"/>
                <w:szCs w:val="24"/>
              </w:rPr>
            </w:pPr>
          </w:p>
        </w:tc>
        <w:tc>
          <w:tcPr>
            <w:tcW w:w="1325" w:type="dxa"/>
            <w:gridSpan w:val="2"/>
            <w:noWrap w:val="0"/>
            <w:vAlign w:val="center"/>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90" w:hRule="atLeast"/>
        </w:trPr>
        <w:tc>
          <w:tcPr>
            <w:tcW w:w="3510" w:type="dxa"/>
            <w:gridSpan w:val="3"/>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附加得分项目</w:t>
            </w:r>
            <w:r>
              <w:rPr>
                <w:rFonts w:ascii="仿宋" w:hAnsi="仿宋" w:eastAsia="仿宋" w:cs="仿宋"/>
                <w:color w:val="000000"/>
                <w:sz w:val="24"/>
                <w:szCs w:val="24"/>
              </w:rPr>
              <w:br w:type="textWrapping"/>
            </w:r>
            <w:r>
              <w:rPr>
                <w:rFonts w:hint="eastAsia" w:ascii="仿宋" w:hAnsi="仿宋" w:eastAsia="仿宋" w:cs="仿宋"/>
                <w:color w:val="000000"/>
                <w:sz w:val="24"/>
                <w:szCs w:val="24"/>
              </w:rPr>
              <w:t>（最高5分）</w:t>
            </w:r>
          </w:p>
        </w:tc>
        <w:tc>
          <w:tcPr>
            <w:tcW w:w="6510" w:type="dxa"/>
            <w:gridSpan w:val="4"/>
            <w:noWrap w:val="0"/>
            <w:vAlign w:val="center"/>
          </w:tcPr>
          <w:p>
            <w:pPr>
              <w:pStyle w:val="2"/>
              <w:shd w:val="clear" w:color="auto" w:fill="FFFFFF"/>
              <w:spacing w:before="0" w:beforeAutospacing="0" w:after="0" w:afterAutospacing="0"/>
              <w:jc w:val="both"/>
              <w:rPr>
                <w:rFonts w:hint="eastAsia" w:ascii="仿宋" w:hAnsi="仿宋" w:eastAsia="仿宋" w:cs="仿宋"/>
                <w:kern w:val="2"/>
              </w:rPr>
            </w:pPr>
            <w:r>
              <w:rPr>
                <w:rFonts w:hint="eastAsia" w:ascii="仿宋" w:hAnsi="仿宋" w:eastAsia="仿宋" w:cs="仿宋"/>
                <w:kern w:val="2"/>
                <w:lang w:val="en-US" w:eastAsia="zh-CN"/>
              </w:rPr>
              <w:t>1.</w:t>
            </w:r>
            <w:r>
              <w:rPr>
                <w:rFonts w:hint="eastAsia" w:ascii="仿宋" w:hAnsi="仿宋" w:eastAsia="仿宋" w:cs="仿宋"/>
                <w:kern w:val="2"/>
              </w:rPr>
              <w:t>履行社会责任、服务企业、业务创新等受到县级及以上部门文件表彰或被市级及以上新闻媒体正面报道的，每项事件加1分；</w:t>
            </w:r>
          </w:p>
          <w:p>
            <w:pPr>
              <w:pStyle w:val="2"/>
              <w:shd w:val="clear" w:color="auto" w:fill="FFFFFF"/>
              <w:spacing w:before="0" w:beforeAutospacing="0" w:after="0" w:afterAutospacing="0"/>
              <w:jc w:val="both"/>
              <w:rPr>
                <w:rFonts w:hint="eastAsia" w:ascii="仿宋" w:hAnsi="仿宋" w:eastAsia="仿宋" w:cs="仿宋"/>
                <w:kern w:val="2"/>
              </w:rPr>
            </w:pPr>
            <w:r>
              <w:rPr>
                <w:rFonts w:hint="eastAsia" w:ascii="仿宋" w:hAnsi="仿宋" w:eastAsia="仿宋" w:cs="仿宋"/>
                <w:kern w:val="2"/>
                <w:lang w:val="en-US" w:eastAsia="zh-CN"/>
              </w:rPr>
              <w:t>2.</w:t>
            </w:r>
            <w:r>
              <w:rPr>
                <w:rFonts w:hint="eastAsia" w:ascii="仿宋" w:hAnsi="仿宋" w:eastAsia="仿宋" w:cs="仿宋"/>
                <w:kern w:val="2"/>
              </w:rPr>
              <w:t xml:space="preserve">年度内增加注册资本加2分；   </w:t>
            </w:r>
          </w:p>
          <w:p>
            <w:pPr>
              <w:pStyle w:val="2"/>
              <w:shd w:val="clear" w:color="auto" w:fill="FFFFFF"/>
              <w:spacing w:before="0" w:beforeAutospacing="0" w:after="0" w:afterAutospacing="0"/>
              <w:jc w:val="both"/>
              <w:rPr>
                <w:rFonts w:hint="eastAsia" w:ascii="仿宋" w:hAnsi="仿宋" w:eastAsia="仿宋" w:cs="仿宋"/>
                <w:kern w:val="2"/>
              </w:rPr>
            </w:pPr>
            <w:r>
              <w:rPr>
                <w:rFonts w:hint="eastAsia" w:ascii="仿宋" w:hAnsi="仿宋" w:eastAsia="仿宋" w:cs="仿宋"/>
                <w:kern w:val="2"/>
                <w:lang w:val="en-US" w:eastAsia="zh-CN"/>
              </w:rPr>
              <w:t>3.</w:t>
            </w:r>
            <w:r>
              <w:rPr>
                <w:rFonts w:hint="eastAsia" w:ascii="仿宋" w:hAnsi="仿宋" w:eastAsia="仿宋" w:cs="仿宋"/>
                <w:kern w:val="2"/>
              </w:rPr>
              <w:t>中小微企业和“三农”融资担保业务担保费率平均不高于2%的，较上年度平均每降低0.1%，加0.5分；</w:t>
            </w:r>
          </w:p>
          <w:p>
            <w:pPr>
              <w:pStyle w:val="2"/>
              <w:shd w:val="clear" w:color="auto" w:fill="FFFFFF"/>
              <w:spacing w:before="0" w:beforeAutospacing="0" w:after="0" w:afterAutospacing="0"/>
              <w:jc w:val="both"/>
              <w:rPr>
                <w:rFonts w:hint="eastAsia" w:ascii="仿宋" w:hAnsi="仿宋" w:eastAsia="仿宋" w:cs="仿宋"/>
                <w:kern w:val="2"/>
              </w:rPr>
            </w:pPr>
            <w:r>
              <w:rPr>
                <w:rFonts w:hint="eastAsia" w:ascii="仿宋" w:hAnsi="仿宋" w:eastAsia="仿宋" w:cs="仿宋"/>
                <w:kern w:val="2"/>
                <w:lang w:val="en-US" w:eastAsia="zh-CN"/>
              </w:rPr>
              <w:t>4.</w:t>
            </w:r>
            <w:r>
              <w:rPr>
                <w:rFonts w:hint="eastAsia" w:ascii="仿宋" w:hAnsi="仿宋" w:eastAsia="仿宋" w:cs="仿宋"/>
                <w:kern w:val="2"/>
              </w:rPr>
              <w:t>融资担保机构当年代偿回收率超过8%的，加2分，每再增加1%，加0.5分；</w:t>
            </w:r>
          </w:p>
          <w:p>
            <w:pPr>
              <w:pStyle w:val="2"/>
              <w:shd w:val="clear" w:color="auto" w:fill="FFFFFF"/>
              <w:spacing w:before="0" w:beforeAutospacing="0" w:after="0" w:afterAutospacing="0"/>
              <w:jc w:val="both"/>
              <w:rPr>
                <w:rFonts w:hint="eastAsia" w:ascii="仿宋" w:hAnsi="仿宋" w:eastAsia="仿宋" w:cs="仿宋"/>
                <w:kern w:val="2"/>
              </w:rPr>
            </w:pPr>
            <w:r>
              <w:rPr>
                <w:rFonts w:hint="eastAsia" w:ascii="仿宋" w:hAnsi="仿宋" w:eastAsia="仿宋" w:cs="仿宋"/>
                <w:kern w:val="2"/>
                <w:lang w:val="en-US" w:eastAsia="zh-CN"/>
              </w:rPr>
              <w:t>5.</w:t>
            </w:r>
            <w:r>
              <w:rPr>
                <w:rFonts w:hint="eastAsia" w:ascii="仿宋" w:hAnsi="仿宋" w:eastAsia="仿宋" w:cs="仿宋"/>
                <w:kern w:val="2"/>
              </w:rPr>
              <w:t>民营及外资控股融资性担保机构“三农”、小微企业、创业创新、战略新兴贷款担保余额（或户数）占总贷款担保余额（或户数）比例达80%的，加2分；</w:t>
            </w:r>
          </w:p>
          <w:p>
            <w:pPr>
              <w:pStyle w:val="2"/>
              <w:shd w:val="clear" w:color="auto" w:fill="FFFFFF"/>
              <w:spacing w:before="0" w:beforeAutospacing="0" w:after="0" w:afterAutospacing="0"/>
              <w:jc w:val="both"/>
              <w:rPr>
                <w:rFonts w:hint="eastAsia" w:ascii="仿宋" w:hAnsi="仿宋" w:eastAsia="仿宋" w:cs="仿宋"/>
                <w:kern w:val="2"/>
              </w:rPr>
            </w:pPr>
            <w:r>
              <w:rPr>
                <w:rFonts w:hint="eastAsia" w:ascii="仿宋" w:hAnsi="仿宋" w:eastAsia="仿宋" w:cs="仿宋"/>
                <w:kern w:val="2"/>
                <w:lang w:val="en-US" w:eastAsia="zh-CN"/>
              </w:rPr>
              <w:t>6.</w:t>
            </w:r>
            <w:r>
              <w:rPr>
                <w:rFonts w:hint="eastAsia" w:ascii="仿宋" w:hAnsi="仿宋" w:eastAsia="仿宋" w:cs="仿宋"/>
                <w:kern w:val="2"/>
              </w:rPr>
              <w:t>融资担保机构不以任何形式收取客户保证金，加1分。</w:t>
            </w:r>
          </w:p>
        </w:tc>
        <w:tc>
          <w:tcPr>
            <w:tcW w:w="1267" w:type="dxa"/>
            <w:noWrap w:val="0"/>
            <w:vAlign w:val="top"/>
          </w:tcPr>
          <w:p>
            <w:pPr>
              <w:jc w:val="left"/>
              <w:rPr>
                <w:rFonts w:hint="eastAsia" w:ascii="仿宋" w:hAnsi="仿宋" w:eastAsia="仿宋" w:cs="仿宋"/>
                <w:sz w:val="24"/>
                <w:szCs w:val="24"/>
              </w:rPr>
            </w:pPr>
          </w:p>
        </w:tc>
        <w:tc>
          <w:tcPr>
            <w:tcW w:w="1289" w:type="dxa"/>
            <w:noWrap w:val="0"/>
            <w:vAlign w:val="top"/>
          </w:tcPr>
          <w:p>
            <w:pPr>
              <w:jc w:val="left"/>
              <w:rPr>
                <w:rFonts w:hint="eastAsia" w:ascii="仿宋" w:hAnsi="仿宋" w:eastAsia="仿宋" w:cs="仿宋"/>
                <w:sz w:val="24"/>
                <w:szCs w:val="24"/>
              </w:rPr>
            </w:pPr>
          </w:p>
        </w:tc>
        <w:tc>
          <w:tcPr>
            <w:tcW w:w="1282" w:type="dxa"/>
            <w:noWrap w:val="0"/>
            <w:vAlign w:val="top"/>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2681" w:hRule="atLeast"/>
        </w:trPr>
        <w:tc>
          <w:tcPr>
            <w:tcW w:w="3510" w:type="dxa"/>
            <w:gridSpan w:val="3"/>
            <w:noWrap w:val="0"/>
            <w:vAlign w:val="center"/>
          </w:tcPr>
          <w:p>
            <w:pPr>
              <w:spacing w:line="360" w:lineRule="auto"/>
              <w:jc w:val="center"/>
              <w:rPr>
                <w:rFonts w:ascii="仿宋" w:hAnsi="仿宋" w:eastAsia="仿宋" w:cs="仿宋"/>
                <w:color w:val="70AD47"/>
                <w:sz w:val="24"/>
                <w:szCs w:val="24"/>
              </w:rPr>
            </w:pPr>
            <w:r>
              <w:rPr>
                <w:rFonts w:hint="eastAsia" w:ascii="仿宋" w:hAnsi="仿宋" w:eastAsia="仿宋" w:cs="仿宋"/>
                <w:sz w:val="24"/>
                <w:szCs w:val="24"/>
              </w:rPr>
              <w:t>一票否决</w:t>
            </w:r>
          </w:p>
        </w:tc>
        <w:tc>
          <w:tcPr>
            <w:tcW w:w="6510" w:type="dxa"/>
            <w:gridSpan w:val="4"/>
            <w:noWrap w:val="0"/>
            <w:vAlign w:val="center"/>
          </w:tcPr>
          <w:p>
            <w:pPr>
              <w:pStyle w:val="2"/>
              <w:shd w:val="clear" w:color="auto" w:fill="FFFFFF"/>
              <w:spacing w:before="0" w:beforeAutospacing="0" w:after="0" w:afterAutospacing="0"/>
              <w:jc w:val="both"/>
              <w:rPr>
                <w:rFonts w:hint="eastAsia" w:ascii="仿宋" w:hAnsi="仿宋" w:eastAsia="仿宋" w:cs="仿宋"/>
                <w:kern w:val="2"/>
              </w:rPr>
            </w:pPr>
            <w:r>
              <w:rPr>
                <w:rFonts w:hint="eastAsia" w:ascii="仿宋" w:hAnsi="仿宋" w:eastAsia="仿宋" w:cs="仿宋"/>
                <w:kern w:val="2"/>
                <w:lang w:val="en-US" w:eastAsia="zh-CN"/>
              </w:rPr>
              <w:t>1.</w:t>
            </w:r>
            <w:r>
              <w:rPr>
                <w:rFonts w:hint="eastAsia" w:ascii="仿宋" w:hAnsi="仿宋" w:eastAsia="仿宋" w:cs="仿宋"/>
                <w:kern w:val="2"/>
              </w:rPr>
              <w:t>存在严重违法违规行为的，包括吸收存款或者变相吸收存款、自营贷款或者受托贷款、受托投资、抽逃注册资本等；</w:t>
            </w:r>
          </w:p>
          <w:p>
            <w:pPr>
              <w:pStyle w:val="2"/>
              <w:shd w:val="clear" w:color="auto" w:fill="FFFFFF"/>
              <w:spacing w:before="0" w:beforeAutospacing="0" w:after="0" w:afterAutospacing="0"/>
              <w:jc w:val="both"/>
              <w:rPr>
                <w:rFonts w:hint="eastAsia" w:ascii="仿宋" w:hAnsi="仿宋" w:eastAsia="仿宋" w:cs="仿宋"/>
                <w:kern w:val="2"/>
              </w:rPr>
            </w:pPr>
            <w:r>
              <w:rPr>
                <w:rFonts w:hint="eastAsia" w:ascii="仿宋" w:hAnsi="仿宋" w:eastAsia="仿宋" w:cs="仿宋"/>
                <w:kern w:val="2"/>
                <w:lang w:val="en-US" w:eastAsia="zh-CN"/>
              </w:rPr>
              <w:t>2.</w:t>
            </w:r>
            <w:r>
              <w:rPr>
                <w:rFonts w:hint="eastAsia" w:ascii="仿宋" w:hAnsi="仿宋" w:eastAsia="仿宋" w:cs="仿宋"/>
                <w:kern w:val="2"/>
              </w:rPr>
              <w:t>存在严重违规经营行为，特别是严重偏离主业、风险集中度过高等可能造成重大不利影响，且对违规事项拒不整改；</w:t>
            </w:r>
          </w:p>
          <w:p>
            <w:pPr>
              <w:pStyle w:val="2"/>
              <w:shd w:val="clear" w:color="auto" w:fill="FFFFFF"/>
              <w:spacing w:before="0" w:beforeAutospacing="0" w:after="0" w:afterAutospacing="0"/>
              <w:jc w:val="both"/>
              <w:rPr>
                <w:rFonts w:hint="eastAsia" w:ascii="仿宋" w:hAnsi="仿宋" w:eastAsia="仿宋" w:cs="仿宋"/>
                <w:kern w:val="2"/>
              </w:rPr>
            </w:pPr>
            <w:r>
              <w:rPr>
                <w:rFonts w:hint="eastAsia" w:ascii="仿宋" w:hAnsi="仿宋" w:eastAsia="仿宋" w:cs="仿宋"/>
                <w:kern w:val="2"/>
                <w:lang w:val="en-US" w:eastAsia="zh-CN"/>
              </w:rPr>
              <w:t>3.</w:t>
            </w:r>
            <w:r>
              <w:rPr>
                <w:rFonts w:hint="eastAsia" w:ascii="仿宋" w:hAnsi="仿宋" w:eastAsia="仿宋" w:cs="仿宋"/>
                <w:kern w:val="2"/>
              </w:rPr>
              <w:t>拒不接受监管监督或不参加监管评级的；</w:t>
            </w:r>
          </w:p>
          <w:p>
            <w:pPr>
              <w:pStyle w:val="2"/>
              <w:shd w:val="clear" w:color="auto" w:fill="FFFFFF"/>
              <w:spacing w:before="0" w:beforeAutospacing="0" w:after="0" w:afterAutospacing="0"/>
              <w:jc w:val="both"/>
              <w:rPr>
                <w:rFonts w:hint="eastAsia" w:ascii="仿宋" w:hAnsi="仿宋" w:eastAsia="仿宋" w:cs="仿宋"/>
                <w:kern w:val="2"/>
              </w:rPr>
            </w:pPr>
            <w:r>
              <w:rPr>
                <w:rFonts w:hint="eastAsia" w:ascii="仿宋" w:hAnsi="仿宋" w:eastAsia="仿宋" w:cs="仿宋"/>
                <w:kern w:val="2"/>
                <w:lang w:val="en-US" w:eastAsia="zh-CN"/>
              </w:rPr>
              <w:t>4.</w:t>
            </w:r>
            <w:r>
              <w:rPr>
                <w:rFonts w:hint="eastAsia" w:ascii="仿宋" w:hAnsi="仿宋" w:eastAsia="仿宋" w:cs="仿宋"/>
                <w:kern w:val="2"/>
              </w:rPr>
              <w:t>提供虚假业务信息和变更审批备案材料；</w:t>
            </w:r>
          </w:p>
          <w:p>
            <w:pPr>
              <w:pStyle w:val="2"/>
              <w:shd w:val="clear" w:color="auto" w:fill="FFFFFF"/>
              <w:spacing w:before="0" w:beforeAutospacing="0" w:after="0" w:afterAutospacing="0"/>
              <w:jc w:val="both"/>
              <w:rPr>
                <w:rFonts w:hint="eastAsia" w:ascii="仿宋" w:hAnsi="仿宋" w:eastAsia="仿宋" w:cs="仿宋"/>
                <w:kern w:val="2"/>
              </w:rPr>
            </w:pPr>
            <w:r>
              <w:rPr>
                <w:rFonts w:hint="eastAsia" w:ascii="仿宋" w:hAnsi="仿宋" w:eastAsia="仿宋" w:cs="仿宋"/>
                <w:kern w:val="2"/>
                <w:lang w:val="en-US" w:eastAsia="zh-CN"/>
              </w:rPr>
              <w:t>5.</w:t>
            </w:r>
            <w:r>
              <w:rPr>
                <w:rFonts w:hint="eastAsia" w:ascii="仿宋" w:hAnsi="仿宋" w:eastAsia="仿宋" w:cs="仿宋"/>
                <w:kern w:val="2"/>
              </w:rPr>
              <w:t>对检查发现要求限期整改的问题逾期仍未整改到位的；</w:t>
            </w:r>
          </w:p>
          <w:p>
            <w:pPr>
              <w:pStyle w:val="2"/>
              <w:shd w:val="clear" w:color="auto" w:fill="FFFFFF"/>
              <w:spacing w:before="0" w:beforeAutospacing="0" w:after="0" w:afterAutospacing="0"/>
              <w:jc w:val="both"/>
              <w:rPr>
                <w:rFonts w:hint="eastAsia" w:ascii="仿宋" w:hAnsi="仿宋" w:eastAsia="仿宋" w:cs="仿宋"/>
                <w:kern w:val="2"/>
              </w:rPr>
            </w:pPr>
            <w:r>
              <w:rPr>
                <w:rFonts w:hint="eastAsia" w:ascii="仿宋" w:hAnsi="仿宋" w:eastAsia="仿宋" w:cs="仿宋"/>
                <w:kern w:val="2"/>
                <w:lang w:val="en-US" w:eastAsia="zh-CN"/>
              </w:rPr>
              <w:t>6.</w:t>
            </w:r>
            <w:r>
              <w:rPr>
                <w:rFonts w:hint="eastAsia" w:ascii="仿宋" w:hAnsi="仿宋" w:eastAsia="仿宋" w:cs="仿宋"/>
                <w:kern w:val="2"/>
              </w:rPr>
              <w:t>其他重大违法违规行为。</w:t>
            </w:r>
          </w:p>
        </w:tc>
        <w:tc>
          <w:tcPr>
            <w:tcW w:w="1267" w:type="dxa"/>
            <w:noWrap w:val="0"/>
            <w:vAlign w:val="top"/>
          </w:tcPr>
          <w:p>
            <w:pPr>
              <w:jc w:val="left"/>
              <w:rPr>
                <w:rFonts w:hint="eastAsia" w:ascii="仿宋" w:hAnsi="仿宋" w:eastAsia="仿宋" w:cs="仿宋"/>
                <w:sz w:val="24"/>
                <w:szCs w:val="24"/>
              </w:rPr>
            </w:pPr>
          </w:p>
        </w:tc>
        <w:tc>
          <w:tcPr>
            <w:tcW w:w="1289" w:type="dxa"/>
            <w:noWrap w:val="0"/>
            <w:vAlign w:val="top"/>
          </w:tcPr>
          <w:p>
            <w:pPr>
              <w:jc w:val="left"/>
              <w:rPr>
                <w:rFonts w:hint="eastAsia" w:ascii="仿宋" w:hAnsi="仿宋" w:eastAsia="仿宋" w:cs="仿宋"/>
                <w:sz w:val="24"/>
                <w:szCs w:val="24"/>
              </w:rPr>
            </w:pPr>
          </w:p>
        </w:tc>
        <w:tc>
          <w:tcPr>
            <w:tcW w:w="1282" w:type="dxa"/>
            <w:noWrap w:val="0"/>
            <w:vAlign w:val="top"/>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841" w:hRule="atLeast"/>
        </w:trPr>
        <w:tc>
          <w:tcPr>
            <w:tcW w:w="10020" w:type="dxa"/>
            <w:gridSpan w:val="7"/>
            <w:noWrap w:val="0"/>
            <w:vAlign w:val="center"/>
          </w:tcPr>
          <w:p>
            <w:pPr>
              <w:jc w:val="center"/>
              <w:rPr>
                <w:rFonts w:hint="eastAsia" w:ascii="仿宋" w:hAnsi="仿宋" w:eastAsia="仿宋" w:cs="仿宋"/>
                <w:sz w:val="24"/>
                <w:szCs w:val="24"/>
              </w:rPr>
            </w:pPr>
            <w:r>
              <w:rPr>
                <w:rFonts w:hint="eastAsia" w:ascii="仿宋" w:hAnsi="仿宋" w:eastAsia="仿宋" w:cs="仿宋"/>
                <w:b/>
                <w:color w:val="000000"/>
                <w:kern w:val="0"/>
                <w:sz w:val="28"/>
                <w:szCs w:val="28"/>
                <w:lang w:bidi="ar"/>
              </w:rPr>
              <w:t>总 得 分</w:t>
            </w:r>
          </w:p>
        </w:tc>
        <w:tc>
          <w:tcPr>
            <w:tcW w:w="1267" w:type="dxa"/>
            <w:noWrap w:val="0"/>
            <w:vAlign w:val="top"/>
          </w:tcPr>
          <w:p>
            <w:pPr>
              <w:jc w:val="left"/>
              <w:rPr>
                <w:rFonts w:hint="eastAsia" w:ascii="仿宋" w:hAnsi="仿宋" w:eastAsia="仿宋" w:cs="仿宋"/>
                <w:sz w:val="24"/>
                <w:szCs w:val="24"/>
              </w:rPr>
            </w:pPr>
          </w:p>
        </w:tc>
        <w:tc>
          <w:tcPr>
            <w:tcW w:w="1289" w:type="dxa"/>
            <w:noWrap w:val="0"/>
            <w:vAlign w:val="top"/>
          </w:tcPr>
          <w:p>
            <w:pPr>
              <w:jc w:val="left"/>
              <w:rPr>
                <w:rFonts w:hint="eastAsia" w:ascii="仿宋" w:hAnsi="仿宋" w:eastAsia="仿宋" w:cs="仿宋"/>
                <w:sz w:val="24"/>
                <w:szCs w:val="24"/>
              </w:rPr>
            </w:pPr>
          </w:p>
        </w:tc>
        <w:tc>
          <w:tcPr>
            <w:tcW w:w="1282" w:type="dxa"/>
            <w:noWrap w:val="0"/>
            <w:vAlign w:val="top"/>
          </w:tcPr>
          <w:p>
            <w:pPr>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2116" w:hRule="atLeast"/>
        </w:trPr>
        <w:tc>
          <w:tcPr>
            <w:tcW w:w="3510" w:type="dxa"/>
            <w:gridSpan w:val="3"/>
            <w:noWrap w:val="0"/>
            <w:vAlign w:val="center"/>
          </w:tcPr>
          <w:p>
            <w:pPr>
              <w:jc w:val="center"/>
              <w:rPr>
                <w:rFonts w:hint="eastAsia" w:ascii="仿宋" w:hAnsi="仿宋" w:eastAsia="仿宋" w:cs="仿宋"/>
                <w:b/>
                <w:color w:val="000000"/>
                <w:kern w:val="0"/>
                <w:sz w:val="28"/>
                <w:szCs w:val="28"/>
                <w:lang w:bidi="ar"/>
              </w:rPr>
            </w:pPr>
            <w:r>
              <w:rPr>
                <w:rFonts w:hint="eastAsia" w:ascii="宋体" w:hAnsi="宋体" w:cs="宋体"/>
                <w:color w:val="000000"/>
                <w:kern w:val="0"/>
                <w:sz w:val="24"/>
                <w:szCs w:val="24"/>
                <w:lang w:bidi="ar"/>
              </w:rPr>
              <w:t>公司自评</w:t>
            </w:r>
          </w:p>
        </w:tc>
        <w:tc>
          <w:tcPr>
            <w:tcW w:w="10348" w:type="dxa"/>
            <w:gridSpan w:val="7"/>
            <w:noWrap w:val="0"/>
            <w:vAlign w:val="top"/>
          </w:tcPr>
          <w:p>
            <w:pPr>
              <w:jc w:val="left"/>
              <w:rPr>
                <w:rFonts w:ascii="仿宋" w:hAnsi="仿宋" w:eastAsia="仿宋" w:cs="仿宋"/>
                <w:sz w:val="24"/>
                <w:szCs w:val="24"/>
              </w:rPr>
            </w:pPr>
          </w:p>
          <w:p>
            <w:pPr>
              <w:jc w:val="left"/>
              <w:rPr>
                <w:rFonts w:ascii="仿宋" w:hAnsi="仿宋" w:eastAsia="仿宋" w:cs="仿宋"/>
                <w:sz w:val="24"/>
                <w:szCs w:val="24"/>
              </w:rPr>
            </w:pPr>
          </w:p>
          <w:p>
            <w:pPr>
              <w:jc w:val="left"/>
              <w:rPr>
                <w:rFonts w:ascii="仿宋" w:hAnsi="仿宋" w:eastAsia="仿宋" w:cs="仿宋"/>
                <w:sz w:val="24"/>
                <w:szCs w:val="24"/>
              </w:rPr>
            </w:pPr>
          </w:p>
          <w:p>
            <w:pPr>
              <w:jc w:val="left"/>
              <w:rPr>
                <w:rFonts w:ascii="仿宋" w:hAnsi="仿宋" w:eastAsia="仿宋" w:cs="仿宋"/>
                <w:sz w:val="24"/>
                <w:szCs w:val="24"/>
              </w:rPr>
            </w:pPr>
          </w:p>
          <w:p>
            <w:pPr>
              <w:jc w:val="left"/>
              <w:rPr>
                <w:rFonts w:ascii="仿宋" w:hAnsi="仿宋" w:eastAsia="仿宋" w:cs="仿宋"/>
                <w:sz w:val="24"/>
                <w:szCs w:val="24"/>
              </w:rPr>
            </w:pPr>
          </w:p>
          <w:p>
            <w:pPr>
              <w:jc w:val="left"/>
              <w:rPr>
                <w:rFonts w:ascii="宋体" w:hAnsi="宋体" w:cs="宋体"/>
                <w:color w:val="000000"/>
                <w:kern w:val="0"/>
                <w:sz w:val="24"/>
                <w:szCs w:val="24"/>
                <w:lang w:bidi="ar"/>
              </w:rPr>
            </w:pPr>
          </w:p>
          <w:p>
            <w:pPr>
              <w:jc w:val="left"/>
              <w:rPr>
                <w:rFonts w:hint="eastAsia" w:ascii="宋体" w:hAnsi="宋体" w:cs="宋体"/>
                <w:color w:val="000000"/>
                <w:kern w:val="0"/>
                <w:sz w:val="24"/>
                <w:szCs w:val="24"/>
                <w:lang w:bidi="ar"/>
              </w:rPr>
            </w:pPr>
          </w:p>
          <w:p>
            <w:pPr>
              <w:jc w:val="right"/>
              <w:rPr>
                <w:rFonts w:hint="eastAsia" w:ascii="仿宋" w:hAnsi="仿宋" w:eastAsia="仿宋" w:cs="仿宋"/>
                <w:sz w:val="24"/>
                <w:szCs w:val="24"/>
              </w:rPr>
            </w:pPr>
            <w:r>
              <w:rPr>
                <w:rFonts w:hint="eastAsia" w:ascii="宋体" w:hAnsi="宋体" w:cs="宋体"/>
                <w:color w:val="000000"/>
                <w:kern w:val="0"/>
                <w:sz w:val="24"/>
                <w:szCs w:val="24"/>
                <w:lang w:bidi="ar"/>
              </w:rPr>
              <w:t>法定代表人签章：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2561" w:hRule="atLeast"/>
        </w:trPr>
        <w:tc>
          <w:tcPr>
            <w:tcW w:w="3510" w:type="dxa"/>
            <w:gridSpan w:val="3"/>
            <w:noWrap w:val="0"/>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市、县金融工作</w:t>
            </w:r>
          </w:p>
          <w:p>
            <w:pPr>
              <w:jc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部门联评</w:t>
            </w:r>
          </w:p>
        </w:tc>
        <w:tc>
          <w:tcPr>
            <w:tcW w:w="4962" w:type="dxa"/>
            <w:gridSpan w:val="3"/>
            <w:noWrap w:val="0"/>
            <w:vAlign w:val="center"/>
          </w:tcPr>
          <w:p>
            <w:pPr>
              <w:jc w:val="left"/>
              <w:rPr>
                <w:rFonts w:ascii="仿宋" w:hAnsi="仿宋" w:eastAsia="仿宋" w:cs="仿宋"/>
                <w:color w:val="000000"/>
                <w:sz w:val="28"/>
                <w:szCs w:val="28"/>
              </w:rPr>
            </w:pPr>
          </w:p>
          <w:p>
            <w:pPr>
              <w:jc w:val="left"/>
              <w:rPr>
                <w:rFonts w:ascii="仿宋" w:hAnsi="仿宋" w:eastAsia="仿宋" w:cs="仿宋"/>
                <w:color w:val="000000"/>
                <w:sz w:val="28"/>
                <w:szCs w:val="28"/>
              </w:rPr>
            </w:pPr>
          </w:p>
          <w:p>
            <w:pPr>
              <w:jc w:val="left"/>
              <w:rPr>
                <w:rFonts w:ascii="仿宋" w:hAnsi="仿宋" w:eastAsia="仿宋" w:cs="仿宋"/>
                <w:color w:val="000000"/>
                <w:sz w:val="28"/>
                <w:szCs w:val="28"/>
              </w:rPr>
            </w:pPr>
          </w:p>
          <w:p>
            <w:pPr>
              <w:rPr>
                <w:rFonts w:hint="eastAsia" w:ascii="仿宋" w:hAnsi="仿宋" w:eastAsia="仿宋" w:cs="仿宋"/>
                <w:color w:val="000000"/>
                <w:sz w:val="28"/>
                <w:szCs w:val="28"/>
              </w:rPr>
            </w:pPr>
          </w:p>
          <w:p>
            <w:pPr>
              <w:jc w:val="left"/>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县（区）金融工作部门盖章：</w:t>
            </w:r>
          </w:p>
          <w:p>
            <w:pPr>
              <w:ind w:firstLine="360" w:firstLineChars="150"/>
              <w:jc w:val="right"/>
              <w:rPr>
                <w:rFonts w:ascii="仿宋" w:hAnsi="仿宋" w:eastAsia="仿宋" w:cs="仿宋"/>
                <w:sz w:val="24"/>
                <w:szCs w:val="24"/>
              </w:rPr>
            </w:pPr>
            <w:r>
              <w:rPr>
                <w:rFonts w:hint="eastAsia" w:ascii="宋体" w:hAnsi="宋体" w:cs="宋体"/>
                <w:color w:val="000000"/>
                <w:kern w:val="0"/>
                <w:sz w:val="24"/>
                <w:szCs w:val="24"/>
                <w:lang w:bidi="ar"/>
              </w:rPr>
              <w:t>年    月   日</w:t>
            </w:r>
          </w:p>
        </w:tc>
        <w:tc>
          <w:tcPr>
            <w:tcW w:w="5386" w:type="dxa"/>
            <w:gridSpan w:val="4"/>
            <w:noWrap w:val="0"/>
            <w:vAlign w:val="center"/>
          </w:tcPr>
          <w:p>
            <w:pPr>
              <w:jc w:val="left"/>
              <w:rPr>
                <w:rFonts w:ascii="仿宋" w:hAnsi="仿宋" w:eastAsia="仿宋" w:cs="仿宋"/>
                <w:color w:val="000000"/>
                <w:sz w:val="28"/>
                <w:szCs w:val="28"/>
              </w:rPr>
            </w:pPr>
          </w:p>
          <w:p>
            <w:pPr>
              <w:jc w:val="left"/>
              <w:rPr>
                <w:rFonts w:ascii="仿宋" w:hAnsi="仿宋" w:eastAsia="仿宋" w:cs="仿宋"/>
                <w:color w:val="000000"/>
                <w:sz w:val="28"/>
                <w:szCs w:val="28"/>
              </w:rPr>
            </w:pPr>
          </w:p>
          <w:p>
            <w:pPr>
              <w:jc w:val="left"/>
              <w:rPr>
                <w:rFonts w:ascii="仿宋" w:hAnsi="仿宋" w:eastAsia="仿宋" w:cs="仿宋"/>
                <w:color w:val="000000"/>
                <w:sz w:val="28"/>
                <w:szCs w:val="28"/>
              </w:rPr>
            </w:pPr>
          </w:p>
          <w:p>
            <w:pPr>
              <w:jc w:val="left"/>
              <w:rPr>
                <w:rFonts w:ascii="仿宋" w:hAnsi="仿宋" w:eastAsia="仿宋" w:cs="仿宋"/>
                <w:color w:val="000000"/>
                <w:sz w:val="28"/>
                <w:szCs w:val="28"/>
              </w:rPr>
            </w:pPr>
          </w:p>
          <w:p>
            <w:pPr>
              <w:jc w:val="left"/>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省辖市、省直管县（市）工作部门盖章：</w:t>
            </w:r>
          </w:p>
          <w:p>
            <w:pPr>
              <w:jc w:val="right"/>
              <w:rPr>
                <w:rFonts w:hint="eastAsia" w:ascii="仿宋" w:hAnsi="仿宋" w:eastAsia="仿宋" w:cs="仿宋"/>
                <w:sz w:val="24"/>
                <w:szCs w:val="24"/>
              </w:rPr>
            </w:pPr>
            <w:r>
              <w:rPr>
                <w:rFonts w:hint="eastAsia" w:ascii="宋体" w:hAnsi="宋体" w:cs="宋体"/>
                <w:color w:val="000000"/>
                <w:kern w:val="0"/>
                <w:sz w:val="24"/>
                <w:szCs w:val="24"/>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2065" w:hRule="atLeast"/>
        </w:trPr>
        <w:tc>
          <w:tcPr>
            <w:tcW w:w="3510" w:type="dxa"/>
            <w:gridSpan w:val="3"/>
            <w:noWrap w:val="0"/>
            <w:vAlign w:val="center"/>
          </w:tcPr>
          <w:p>
            <w:pPr>
              <w:jc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省地方金融监管局复核</w:t>
            </w:r>
          </w:p>
        </w:tc>
        <w:tc>
          <w:tcPr>
            <w:tcW w:w="10348" w:type="dxa"/>
            <w:gridSpan w:val="7"/>
            <w:noWrap w:val="0"/>
            <w:vAlign w:val="center"/>
          </w:tcPr>
          <w:p>
            <w:pPr>
              <w:jc w:val="left"/>
              <w:rPr>
                <w:rFonts w:ascii="宋体" w:hAnsi="宋体" w:cs="宋体"/>
                <w:color w:val="000000"/>
                <w:kern w:val="0"/>
                <w:sz w:val="24"/>
                <w:szCs w:val="24"/>
                <w:lang w:bidi="ar"/>
              </w:rPr>
            </w:pPr>
          </w:p>
          <w:p>
            <w:pPr>
              <w:jc w:val="left"/>
              <w:rPr>
                <w:rFonts w:ascii="宋体" w:hAnsi="宋体" w:cs="宋体"/>
                <w:color w:val="000000"/>
                <w:kern w:val="0"/>
                <w:sz w:val="24"/>
                <w:szCs w:val="24"/>
                <w:lang w:bidi="ar"/>
              </w:rPr>
            </w:pPr>
          </w:p>
          <w:p>
            <w:pPr>
              <w:jc w:val="left"/>
              <w:rPr>
                <w:rFonts w:ascii="宋体" w:hAnsi="宋体" w:cs="宋体"/>
                <w:color w:val="000000"/>
                <w:kern w:val="0"/>
                <w:sz w:val="24"/>
                <w:szCs w:val="24"/>
                <w:lang w:bidi="ar"/>
              </w:rPr>
            </w:pPr>
          </w:p>
          <w:p>
            <w:pPr>
              <w:jc w:val="left"/>
              <w:rPr>
                <w:rFonts w:ascii="宋体" w:hAnsi="宋体" w:cs="宋体"/>
                <w:color w:val="000000"/>
                <w:kern w:val="0"/>
                <w:sz w:val="24"/>
                <w:szCs w:val="24"/>
                <w:lang w:bidi="ar"/>
              </w:rPr>
            </w:pPr>
          </w:p>
          <w:p>
            <w:pPr>
              <w:jc w:val="left"/>
              <w:rPr>
                <w:rFonts w:hint="eastAsia" w:ascii="宋体" w:hAnsi="宋体" w:cs="宋体"/>
                <w:color w:val="000000"/>
                <w:kern w:val="0"/>
                <w:sz w:val="24"/>
                <w:szCs w:val="24"/>
                <w:lang w:bidi="ar"/>
              </w:rPr>
            </w:pPr>
          </w:p>
          <w:p>
            <w:pPr>
              <w:rPr>
                <w:rFonts w:hint="eastAsia" w:ascii="宋体" w:hAnsi="宋体" w:cs="宋体"/>
                <w:color w:val="000000"/>
                <w:kern w:val="0"/>
                <w:sz w:val="24"/>
                <w:szCs w:val="24"/>
                <w:lang w:bidi="ar"/>
              </w:rPr>
            </w:pPr>
          </w:p>
          <w:p>
            <w:pPr>
              <w:ind w:right="480"/>
              <w:jc w:val="right"/>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单位盖章：     </w:t>
            </w:r>
          </w:p>
          <w:p>
            <w:pPr>
              <w:ind w:right="240"/>
              <w:jc w:val="right"/>
              <w:rPr>
                <w:rFonts w:hint="eastAsia" w:ascii="仿宋" w:hAnsi="仿宋" w:eastAsia="仿宋" w:cs="仿宋"/>
                <w:sz w:val="24"/>
                <w:szCs w:val="24"/>
              </w:rPr>
            </w:pPr>
            <w:r>
              <w:rPr>
                <w:rFonts w:hint="eastAsia" w:ascii="宋体" w:hAnsi="宋体" w:cs="宋体"/>
                <w:color w:val="000000"/>
                <w:kern w:val="0"/>
                <w:sz w:val="24"/>
                <w:szCs w:val="24"/>
                <w:lang w:bidi="ar"/>
              </w:rPr>
              <w:t xml:space="preserve"> 年    月   日</w:t>
            </w:r>
          </w:p>
        </w:tc>
      </w:tr>
    </w:tbl>
    <w:p>
      <w:pPr>
        <w:jc w:val="left"/>
        <w:rPr>
          <w:rFonts w:hint="eastAsia" w:ascii="宋体" w:hAnsi="宋体" w:cs="宋体"/>
          <w:color w:val="000000"/>
          <w:kern w:val="0"/>
          <w:sz w:val="20"/>
          <w:szCs w:val="20"/>
          <w:lang w:bidi="ar"/>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D68BD4"/>
    <w:multiLevelType w:val="singleLevel"/>
    <w:tmpl w:val="E7D68BD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wMTk0MWNkYWI2ZjVmZGIwNWIzOTgyMGI1NGM2ODUifQ=="/>
  </w:docVars>
  <w:rsids>
    <w:rsidRoot w:val="68D7021B"/>
    <w:rsid w:val="68D70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2023-04-21T07:01:00Z</dcterms:created>
  <dc:creator>Administrator</dc:creator>
  <cp:lastModifiedBy>Administrator</cp:lastModifiedBy>
  <dcterms:modified xsi:type="dcterms:W3CDTF">2023-04-21T07:02:16Z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E78EBEEAA6A44773B0C729455CCBE84E</vt:lpwstr>
  </property>
</Properties>
</file>