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84"/>
          <w:szCs w:val="84"/>
          <w:u w:val="none"/>
          <w:lang w:val="en-US" w:eastAsia="zh-CN"/>
        </w:rPr>
      </w:pPr>
      <w:r>
        <w:rPr>
          <w:sz w:val="36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866775</wp:posOffset>
                </wp:positionV>
                <wp:extent cx="5210175" cy="1079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4200" y="1801495"/>
                          <a:ext cx="5210175" cy="107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8pt;margin-top:68.25pt;height:0.85pt;width:410.25pt;z-index:251659264;mso-width-relative:page;mso-height-relative:page;" filled="f" stroked="t" coordsize="21600,21600" o:gfxdata="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hL+Q1gAAAAoBAAAPAAAAAAAAAAEAIAAAACIAAABkcnMvZG93bnJldi54bWxQSwEC&#10;FAAUAAAACACHTuJA9bYYBPYBAADCAwAADgAAAAAAAAABACAAAAAlAQAAZHJzL2Uyb0RvYy54bWxQ&#10;SwUGAAAAAAYABgBZAQAAjQUAAAAA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801370</wp:posOffset>
                </wp:positionV>
                <wp:extent cx="5229225" cy="0"/>
                <wp:effectExtent l="0" t="19050" r="952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46835" y="1544320"/>
                          <a:ext cx="5229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05pt;margin-top:63.1pt;height:0pt;width:411.75pt;z-index:251660288;mso-width-relative:page;mso-height-relative:page;" filled="f" stroked="t" coordsize="21600,21600" o:gfxdata="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Q6vJNUAAAAKAQAADwAAAAAAAAABACAAAAAiAAAAZHJzL2Rvd25yZXYueG1sUEsBAhQA&#10;FAAAAAgAh07iQJKzL/P1AQAAvgMAAA4AAAAAAAAAAQAgAAAAJAEAAGRycy9lMm9Eb2MueG1sUEsF&#10;BgAAAAAGAAYAWQEAAIsFAAAAAA==&#10;">
                <v:fill on="f" focussize="0,0"/>
                <v:stroke weight="3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FF0000"/>
          <w:sz w:val="84"/>
          <w:szCs w:val="84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84"/>
          <w:szCs w:val="84"/>
          <w:u w:val="none"/>
          <w:lang w:val="en-US" w:eastAsia="zh-CN"/>
        </w:rPr>
        <w:t>唐 河 县 水 利 局</w:t>
      </w:r>
      <w:r>
        <w:rPr>
          <w:rFonts w:hint="eastAsia" w:ascii="宋体" w:hAnsi="宋体" w:eastAsia="宋体" w:cs="宋体"/>
          <w:b/>
          <w:bCs/>
          <w:color w:val="FF0000"/>
          <w:sz w:val="84"/>
          <w:szCs w:val="84"/>
          <w:u w:val="none"/>
          <w:lang w:val="en-US" w:eastAsia="zh-CN"/>
        </w:rPr>
        <w:t xml:space="preserve"> </w:t>
      </w:r>
    </w:p>
    <w:p>
      <w:pPr>
        <w:spacing w:line="22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唐河县水利局</w:t>
      </w:r>
    </w:p>
    <w:p>
      <w:pPr>
        <w:spacing w:line="220" w:lineRule="atLeas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关于印发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2023年执法检查监督计划</w:t>
      </w:r>
    </w:p>
    <w:p>
      <w:pPr>
        <w:spacing w:line="22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spacing w:line="220" w:lineRule="atLeas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20" w:lineRule="atLeast"/>
        <w:rPr>
          <w:rFonts w:hint="eastAsia" w:ascii="仿宋" w:hAnsi="仿宋" w:eastAsia="仿宋" w:cs="宋体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z w:val="32"/>
          <w:szCs w:val="32"/>
        </w:rPr>
        <w:t>局</w:t>
      </w:r>
      <w:r>
        <w:rPr>
          <w:rFonts w:hint="eastAsia" w:ascii="仿宋" w:hAnsi="仿宋" w:eastAsia="仿宋" w:cs="宋体"/>
          <w:color w:val="333333"/>
          <w:sz w:val="32"/>
          <w:szCs w:val="32"/>
          <w:lang w:val="en-US" w:eastAsia="zh-CN"/>
        </w:rPr>
        <w:t>属各单位</w:t>
      </w:r>
      <w:r>
        <w:rPr>
          <w:rFonts w:hint="eastAsia" w:ascii="仿宋" w:hAnsi="仿宋" w:eastAsia="仿宋" w:cs="宋体"/>
          <w:color w:val="333333"/>
          <w:sz w:val="32"/>
          <w:szCs w:val="32"/>
        </w:rPr>
        <w:t>：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现将《唐河县水利局2023年执法检查监督计划》的通知印发给你们，请遵照执行。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jc w:val="both"/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附件：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唐河县水利局2023年执法检查监督计划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jc w:val="both"/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120" w:beforeAutospacing="0" w:after="120" w:afterAutospacing="0" w:line="360" w:lineRule="auto"/>
        <w:jc w:val="right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2022年12月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color w:val="333333"/>
          <w:sz w:val="32"/>
          <w:szCs w:val="32"/>
        </w:rPr>
        <w:t>日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</w:p>
    <w:p>
      <w:pPr>
        <w:spacing w:line="220" w:lineRule="atLeast"/>
      </w:pPr>
    </w:p>
    <w:p>
      <w:pPr>
        <w:bidi w:val="0"/>
        <w:rPr>
          <w:rFonts w:ascii="Tahoma" w:hAnsi="Tahoma" w:eastAsia="微软雅黑" w:cstheme="minorBidi"/>
          <w:sz w:val="22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bidi w:val="0"/>
        <w:jc w:val="left"/>
        <w:rPr>
          <w:lang w:val="en-US" w:eastAsia="zh-CN"/>
        </w:rPr>
      </w:pPr>
    </w:p>
    <w:p>
      <w:pPr>
        <w:adjustRightInd/>
        <w:snapToGrid/>
        <w:spacing w:after="0"/>
        <w:jc w:val="center"/>
        <w:outlineLvl w:val="0"/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</w:pPr>
    </w:p>
    <w:p>
      <w:pPr>
        <w:adjustRightInd/>
        <w:snapToGrid/>
        <w:spacing w:after="0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  <w:t>唐河县水利局2023年执法检查监督计划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第一条 为规范涉企检查行为，减轻企业负担，推行“除涉及安全底线相关监管执法事项外，实行非举报（投诉）不主动检查”的行政执法方式，营造“办事省心、投资放心、经营安心”的营商环境。根据《行政处罚法》《优化营商环境条例》等规定，制定本制度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第二条 严格执行涉企行政执法检查计划管理，除“双随机、一公开”，实施涉企行政检查一律实行事前审批制，涉企行政执法检查不得影响被检查企业正常的生产经营活动。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第三条 根据检查目的和内容，涉企行政执法检查包含以下类型：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（一）“双随机、一公开”检查。按照《“双随机、一公开”抽查事项清单》《“双随机、一公开”抽查工作指引》执行。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（二）日常检查。按照《涉企现场检查事项清单》执行，未列入涉企现场检查事项清单的，不得随意进行现场执法检查。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（三）触发式检查。上级部署、投诉举报、突发事件以及其他需要依法开展现场行政执法检查。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（四）其他事项。包括上门服务、业务指导、信用修复等入企行为。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第四条 同一企业同一事项一次检查，加强系统内上下衔接，强化检查结果共享利用，对重复或不涉及安全的事项进行清理整合，上一次门查多项事。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第五条 实行信用风险差异化监管，根据企业信用风险分类结果，对A类企业“无事不扰”；对B类企业，按常规比例和频次开展抽查；对C类企业，实行重点关注；对D类企业，实行严格监管。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第六条 探索建立市场监管领域监管对象正面清单，按照“非必要不现场执法检查”原则，对纳入相关业务领域正面清单的企业不主动上门检查。如纳入企业信用风险A类的企业，原则上不再进行登记事项和公示事项的检查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第七条 推进线上监管，运用互联网、大数据、人工智能等技术手段开展非现场监管。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第八条 实施涉企行政执法检查的部门应事前履行审批程序，填写《唐河县水利局涉企行政检查审批表》，统一由分管负责人审核后，由主要负责人审批。实施联合检查的，由牵头部门负责报审。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第九条 对涉及安全的领域，因突发事件、处理投诉等紧急情况可后补审批，由实施涉企行政执法检查的部门向分管领导口头申请，并在检查、调查完成后即补填《唐河县水利局涉企行政检查审批表》。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第十条 涉企行政执法检查部门应根据工作实际，于每年1月底前制定年度涉企检查计划和“双随机、一公开”监管计划，除上级部署以及其他需要依法开展现场行政执法检查外，原则上不得随意增加检查任务。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第十一条 行政处罚案件立案前的检查、核查等，按本制度执行。立案后的调查取证，按《行政处罚程序规定》执行。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第十二条 涉企行政检查中，严禁擅自采取责令关闭、责令停产停业、限制开展生产经营活动、限制从业等行政处罚措施。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第十三条 涉企行政执法检查责任追究和监督。对违反本制度，未经审批擅自开展检查以及检查中损害企业合法权益的，依照《优化营商环境条例》等规定，依法严肃处理。局法制机构应对涉企行政执法落实情况开展监督检查，规范涉企检查行为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第十四条 本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计划</w:t>
      </w:r>
      <w:r>
        <w:rPr>
          <w:rFonts w:hint="eastAsia" w:ascii="仿宋" w:hAnsi="仿宋" w:eastAsia="仿宋"/>
          <w:color w:val="333333"/>
          <w:sz w:val="32"/>
          <w:szCs w:val="32"/>
        </w:rPr>
        <w:t>自发布之日起实施。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第十五条 本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计划</w:t>
      </w:r>
      <w:r>
        <w:rPr>
          <w:rFonts w:hint="eastAsia" w:ascii="仿宋" w:hAnsi="仿宋" w:eastAsia="仿宋"/>
          <w:color w:val="333333"/>
          <w:sz w:val="32"/>
          <w:szCs w:val="32"/>
        </w:rPr>
        <w:t>由唐河县水利局负责解释。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MmQ4NmE0NDBhM2UzZTA3MGEyNjQyNmRiY2Y4ZmYifQ=="/>
  </w:docVars>
  <w:rsids>
    <w:rsidRoot w:val="649573B8"/>
    <w:rsid w:val="06B156A8"/>
    <w:rsid w:val="1933775E"/>
    <w:rsid w:val="26D113AF"/>
    <w:rsid w:val="2ACB1B90"/>
    <w:rsid w:val="3F220916"/>
    <w:rsid w:val="40841241"/>
    <w:rsid w:val="48AA7C0A"/>
    <w:rsid w:val="649573B8"/>
    <w:rsid w:val="69490DE0"/>
    <w:rsid w:val="6E10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6</Characters>
  <Lines>0</Lines>
  <Paragraphs>0</Paragraphs>
  <TotalTime>0</TotalTime>
  <ScaleCrop>false</ScaleCrop>
  <LinksUpToDate>false</LinksUpToDate>
  <CharactersWithSpaces>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2022-02-13T06:43:00Z</dcterms:created>
  <dc:creator>^o^</dc:creator>
  <cp:lastModifiedBy>Administrator</cp:lastModifiedBy>
  <cp:lastPrinted>2022-02-13T07:03:00Z</cp:lastPrinted>
  <dcterms:modified xsi:type="dcterms:W3CDTF">2023-04-19T06:30:12Z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D8CA215CB7944B94A3AEE88513093EB6</vt:lpwstr>
  </property>
</Properties>
</file>