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中共唐河县委 唐河县人民政府</w:t>
      </w: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w:t>
      </w:r>
      <w:r>
        <w:rPr>
          <w:rFonts w:hint="eastAsia" w:ascii="方正小标宋简体" w:hAnsi="方正小标宋简体" w:eastAsia="方正小标宋简体" w:cs="方正小标宋简体"/>
          <w:b w:val="0"/>
          <w:bCs w:val="0"/>
          <w:color w:val="auto"/>
          <w:spacing w:val="-6"/>
          <w:sz w:val="44"/>
          <w:szCs w:val="44"/>
          <w:lang w:val="en-US" w:eastAsia="zh-CN"/>
        </w:rPr>
        <w:t>于实现巩固拓展脱贫攻坚成果同乡村振兴</w:t>
      </w:r>
      <w:r>
        <w:rPr>
          <w:rFonts w:hint="eastAsia" w:ascii="方正小标宋简体" w:hAnsi="方正小标宋简体" w:eastAsia="方正小标宋简体" w:cs="方正小标宋简体"/>
          <w:b w:val="0"/>
          <w:bCs w:val="0"/>
          <w:color w:val="auto"/>
          <w:sz w:val="44"/>
          <w:szCs w:val="44"/>
          <w:lang w:val="en-US" w:eastAsia="zh-CN"/>
        </w:rPr>
        <w:t>有效衔接的实施意见</w:t>
      </w: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宋体" w:hAnsi="宋体" w:eastAsia="宋体" w:cs="宋体"/>
          <w:b/>
          <w:bCs/>
          <w:color w:val="auto"/>
          <w:sz w:val="36"/>
          <w:szCs w:val="36"/>
          <w:lang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2021年4月30日</w:t>
      </w:r>
      <w:r>
        <w:rPr>
          <w:rFonts w:hint="eastAsia" w:ascii="楷体" w:hAnsi="楷体" w:eastAsia="楷体" w:cs="楷体"/>
          <w:b/>
          <w:bCs/>
          <w:color w:val="auto"/>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巩固拓展脱贫攻坚成果，接续推进乡村全面振兴，根据《中共中央、国务院关于实现巩固脱贫攻坚成果同乡村振兴有效衔接的意见》（中发〔2020〕30号）、《中共河南省委、河南省人民政府关于实现巩固拓展脱贫攻坚成果同乡村振兴有效衔接的实施意见》（豫发〔2021〕5号）及《中共南阳市委、南阳市人民政府关于实现巩固拓展脱贫攻坚成果同乡村振兴有效衔接的实施意见》（宛发〔2021〕7号）精神，结合我县实际，提出如下实施意见。</w:t>
      </w: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一、总体要求</w:t>
      </w: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bCs/>
          <w:color w:val="auto"/>
          <w:sz w:val="32"/>
          <w:szCs w:val="32"/>
          <w:lang w:val="en-US" w:eastAsia="zh-CN"/>
        </w:rPr>
        <w:t>（一）指导思想。</w:t>
      </w:r>
      <w:r>
        <w:rPr>
          <w:rFonts w:hint="eastAsia" w:ascii="仿宋_GB2312" w:hAnsi="仿宋_GB2312" w:eastAsia="仿宋_GB2312" w:cs="仿宋_GB2312"/>
          <w:b w:val="0"/>
          <w:bCs w:val="0"/>
          <w:color w:val="auto"/>
          <w:sz w:val="32"/>
          <w:szCs w:val="32"/>
          <w:lang w:val="en-US" w:eastAsia="zh-CN"/>
        </w:rPr>
        <w:t>以习近平新时代中国特色社会主义思想为指导，深入贯彻党的十九大和十九届二中、三中、四中、五中全会精神，认真落实中央、省委、市委农村工作会议和全国、全省、全市巩固拓展脱贫攻坚成果同乡村振兴有效衔接工作会议精神，坚定不移贯彻新发展理念，坚持稳中求进总基调，坚持以人民为中心的发展思想，坚持共同富裕方向，以乡村振兴统揽农村工作全局，将巩固拓展脱贫攻坚成果放在突出位置，加快推进乡村产业、人才、文化、生态、组织等全面振兴，逐步实现产业兴旺、生态宜居、乡风文明、治理有效、生活富裕的发展目标，为高质量打造天蓝、地绿、水清、民富的美丽家园幸福家园奠定坚实的基础。</w:t>
      </w: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bCs/>
          <w:color w:val="auto"/>
          <w:sz w:val="32"/>
          <w:szCs w:val="32"/>
          <w:lang w:val="en-US" w:eastAsia="zh-CN"/>
        </w:rPr>
        <w:t>（二）基本思路。</w:t>
      </w:r>
      <w:r>
        <w:rPr>
          <w:rFonts w:hint="eastAsia" w:ascii="仿宋_GB2312" w:hAnsi="仿宋_GB2312" w:eastAsia="仿宋_GB2312" w:cs="仿宋_GB2312"/>
          <w:b w:val="0"/>
          <w:bCs w:val="0"/>
          <w:color w:val="auto"/>
          <w:sz w:val="32"/>
          <w:szCs w:val="32"/>
          <w:lang w:val="en-US" w:eastAsia="zh-CN"/>
        </w:rPr>
        <w:t>脱贫攻坚目标任务完成后，从脱贫之日起设立5年过渡期，与“十四五”规划相衔接。全县各级各部门要结合工作实际，理清工作思路，以全省乡村振兴整体推进县为契机，做好过渡期内领导体制、工作体系、发展规划、政策举措、考核机制等有效衔接，认真落实过渡期“四个不摘”要求，聚焦已脱贫户、边缘易致贫户和突发严重困难户，加强防返贫动态监测和帮扶机制落实，持续巩固优势、补齐短板，推动脱贫攻坚期内的政策举措和工作体系逐步向乡村振兴平稳过渡，用乡村振兴巩固拓展脱贫攻坚成果，坚决守住脱贫攻坚胜利果实，保证不出现规模性返贫，实现与乡村振兴有效衔接，确保乡村振兴有序推进。</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bCs/>
          <w:color w:val="auto"/>
          <w:sz w:val="32"/>
          <w:szCs w:val="32"/>
          <w:lang w:val="en-US" w:eastAsia="zh-CN"/>
        </w:rPr>
        <w:t>（三）工作目标。</w:t>
      </w:r>
      <w:r>
        <w:rPr>
          <w:rFonts w:hint="eastAsia" w:ascii="仿宋_GB2312" w:hAnsi="仿宋_GB2312" w:eastAsia="仿宋_GB2312" w:cs="仿宋_GB2312"/>
          <w:b w:val="0"/>
          <w:bCs w:val="0"/>
          <w:color w:val="auto"/>
          <w:sz w:val="32"/>
          <w:szCs w:val="32"/>
          <w:lang w:val="en-US" w:eastAsia="zh-CN"/>
        </w:rPr>
        <w:t>到2025年，脱贫攻坚成果持续巩固拓展，乡村振兴实现更大突破、走在全市前列，农村低收入人口分类帮扶长效机制逐步完善，不发生规模性返贫和新的绝对贫困，脱贫群众人均纯收入增速高于全县农民平均水平，乡村经济活力和发展后劲明显增强，乡村产业质量、效益和竞争力进一步提高，群众收入稳步持续增长，农村基础设施和基本公共服务水平进一步提升，生态环境持续改善，美丽宜居乡村建设扎实推进，乡风文明建设取得显著进展，农村基层组织建设不断加强。到2035年，乡村经济实力显著增强，乡村振兴取得决定性进展，农业农村现代化基本实现，农村低收入人口生活水平显著提高，城乡差距进一步缩小，在促进全县人民共同富裕上取得更为明显的实质性进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color w:val="auto"/>
          <w:kern w:val="0"/>
          <w:sz w:val="32"/>
          <w:szCs w:val="32"/>
          <w:lang w:val="en-US" w:eastAsia="zh-CN" w:bidi="ar"/>
        </w:rPr>
        <w:t>二、</w:t>
      </w:r>
      <w:r>
        <w:rPr>
          <w:rFonts w:hint="eastAsia" w:ascii="黑体" w:hAnsi="黑体" w:eastAsia="黑体" w:cs="黑体"/>
          <w:b w:val="0"/>
          <w:bCs w:val="0"/>
          <w:i w:val="0"/>
          <w:caps w:val="0"/>
          <w:color w:val="auto"/>
          <w:spacing w:val="0"/>
          <w:kern w:val="0"/>
          <w:sz w:val="32"/>
          <w:szCs w:val="32"/>
          <w:shd w:val="clear" w:fill="FFFFFF"/>
          <w:lang w:val="en-US" w:eastAsia="zh-CN" w:bidi="ar"/>
        </w:rPr>
        <w:t>建立健全巩固拓展脱贫攻坚成果长效机制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楷体" w:hAnsi="楷体" w:eastAsia="楷体" w:cs="楷体"/>
          <w:b/>
          <w:i w:val="0"/>
          <w:caps w:val="0"/>
          <w:color w:val="auto"/>
          <w:spacing w:val="0"/>
          <w:kern w:val="0"/>
          <w:sz w:val="32"/>
          <w:szCs w:val="32"/>
          <w:shd w:val="clear" w:fill="FFFFFF"/>
          <w:lang w:val="en-US" w:eastAsia="zh-CN" w:bidi="ar"/>
        </w:rPr>
        <w:t>（一）保持主要帮扶政策总体稳定。</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过渡期内严格落实“四个不摘”要求。坚持</w:t>
      </w:r>
      <w:r>
        <w:rPr>
          <w:rFonts w:hint="eastAsia" w:ascii="仿宋_GB2312" w:hAnsi="仿宋_GB2312" w:eastAsia="仿宋_GB2312" w:cs="仿宋_GB2312"/>
          <w:b w:val="0"/>
          <w:bCs/>
          <w:color w:val="auto"/>
          <w:sz w:val="32"/>
          <w:szCs w:val="32"/>
          <w:lang w:val="en-US" w:eastAsia="zh-CN"/>
        </w:rPr>
        <w:t>摘帽不摘责任，做到思想不懈怠、工作不断档、责任不缺位，聚力完成建立健全巩固拓展脱贫攻坚成果长效机制、推动脱贫攻坚工作体系全面转向乡村振兴、健全农村低收入人口常态化帮扶机制三大重点任务。坚持摘帽不摘政策，根据脱贫人口实际困难适度倾斜教育、医疗、住房、饮水等民生保障政策，优化产业就业等发展类政策，完善易地扶贫搬迁后续扶持政策，保持兜底救助类政策稳定。坚持摘帽不摘帮扶，各级干部包乡包村包户帮扶、定点帮扶、“百企帮百村”、街道办事处结对帮扶重点村等继续实行，并根据实际需要及时调整优化。坚持摘帽不摘监管。对脱贫村、户加强跟踪监测，及时发现解决影响巩固脱贫攻坚成果的苗头性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楷体" w:hAnsi="楷体" w:eastAsia="楷体" w:cs="楷体"/>
          <w:b/>
          <w:bCs/>
          <w:color w:val="auto"/>
          <w:sz w:val="32"/>
          <w:szCs w:val="32"/>
          <w:lang w:val="en-US" w:eastAsia="zh-CN"/>
        </w:rPr>
        <w:t>（二）</w:t>
      </w:r>
      <w:r>
        <w:rPr>
          <w:rFonts w:hint="eastAsia" w:ascii="楷体" w:hAnsi="楷体" w:eastAsia="楷体" w:cs="楷体"/>
          <w:b/>
          <w:bCs/>
          <w:i w:val="0"/>
          <w:caps w:val="0"/>
          <w:color w:val="auto"/>
          <w:spacing w:val="0"/>
          <w:kern w:val="0"/>
          <w:sz w:val="32"/>
          <w:szCs w:val="32"/>
          <w:shd w:val="clear" w:fill="FFFFFF"/>
          <w:lang w:val="en-US" w:eastAsia="zh-CN" w:bidi="ar"/>
        </w:rPr>
        <w:t>健全防止返贫动态监测和帮扶机制。</w:t>
      </w:r>
      <w:r>
        <w:rPr>
          <w:rFonts w:hint="eastAsia" w:ascii="仿宋_GB2312" w:hAnsi="仿宋_GB2312" w:eastAsia="仿宋_GB2312" w:cs="仿宋_GB2312"/>
          <w:b w:val="0"/>
          <w:bCs w:val="0"/>
          <w:color w:val="auto"/>
          <w:sz w:val="32"/>
          <w:szCs w:val="32"/>
          <w:lang w:val="en-US" w:eastAsia="zh-CN"/>
        </w:rPr>
        <w:t>开展常态化监测预警，对</w:t>
      </w:r>
      <w:r>
        <w:rPr>
          <w:rFonts w:hint="eastAsia" w:ascii="仿宋_GB2312" w:hAnsi="仿宋_GB2312" w:eastAsia="仿宋_GB2312" w:cs="仿宋_GB2312"/>
          <w:color w:val="auto"/>
          <w:sz w:val="32"/>
          <w:szCs w:val="32"/>
          <w:lang w:val="en-US" w:eastAsia="zh-CN"/>
        </w:rPr>
        <w:t>脱贫不稳定户、边缘易致贫户，以及因病因灾因意外事故等刚性支出较大或收入大幅缩减导致基本生活出现严重困难户，实行动态管理动态帮扶，重点监测其收入支出状况、“两不愁三保障”及饮水安全状况等主要指标。依托河南省精准扶贫信息管理平台防返贫监测子系统，提高监测信息化水平和精准度。</w:t>
      </w:r>
      <w:r>
        <w:rPr>
          <w:rFonts w:hint="eastAsia" w:ascii="仿宋_GB2312" w:hAnsi="仿宋_GB2312" w:eastAsia="仿宋_GB2312" w:cs="仿宋_GB2312"/>
          <w:b w:val="0"/>
          <w:bCs w:val="0"/>
          <w:color w:val="auto"/>
          <w:sz w:val="32"/>
          <w:szCs w:val="32"/>
          <w:lang w:val="en-US" w:eastAsia="zh-CN"/>
        </w:rPr>
        <w:t>精准分析返贫致贫原因，因人因户及时落实针对性帮扶措施，实现监测对象返贫致贫风险动态清零。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（三）巩固“两不愁三保障”成果。</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坚持行业主管部门责任和属地管理责任“双落实”，强化长效机制建设。围绕“应学尽学”目标，</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健全控辍保学机制，确保脱贫家庭义务教育阶段适龄儿童除身体原因不具备学习条件外不失学辍学。围绕“应保尽保”目标，全力做好脱贫人口参保动员工作，特别是要在落实分类资助参保政策的基础上，持续保持</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政策连续性，确保不出现因病返贫致贫问题。围绕“应改尽改”目标，加强脱贫人口住房安全日常动态监测，对新出现的危房及时实施改造，采取修缮加固、拆除重建、租赁、置换、建设集体公租房等形式落实住房救助政策，确保群众无危房。巩固维护现有农村饮水安全工程成果，对全县所有未实现集中供水的行政村实施安全饮水工程，并对已实现集中供水行政村的安全饮水工程进行巩固提升，加强安全饮水水质监测，确保农村全面实现人畜饮水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（四）做好易地扶贫搬迁后续扶持工作。</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因地制宜发展安置区周边配套产业，优化提升就业帮扶服务，多渠道促进搬迁劳动力稳定就业。完善安置区配套设施建设，确保搬迁群众和所在地居民享有一体化、均等化的基础设施和基本公共服务。健全安置区管理体制，持续加强社区管理服务人员和经费保障，提升社区管理服务水平，帮助搬迁群众融入安置区社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（五）强化扶志扶智。</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持续开展志智双扶，加强对脱贫群众思想、文化、道德、法律教育，开展实用技能、市场经营、就业创业等培训，强化正向激励，提升精神面貌。深入开展新时代文明实践活动，开展移风易俗行动，培育健康文明生活方式。持续开展“话脱贫、感党恩、奋进新时代”主题活动，引导广大群众更加自觉听党话、跟党走。</w:t>
      </w:r>
      <w:r>
        <w:rPr>
          <w:rFonts w:hint="default" w:ascii="Times New Roman" w:hAnsi="Times New Roman" w:eastAsia="仿宋_GB2312" w:cs="Times New Roman"/>
          <w:b w:val="0"/>
          <w:bCs w:val="0"/>
          <w:color w:val="auto"/>
          <w:spacing w:val="0"/>
          <w:kern w:val="0"/>
          <w:sz w:val="32"/>
          <w:szCs w:val="32"/>
          <w:highlight w:val="none"/>
          <w:lang w:val="en-US" w:eastAsia="zh-CN" w:bidi="ar-SA"/>
        </w:rPr>
        <w:t>积极开展乡风文明建设，发挥村规民约作用，倡导赡养老人、</w:t>
      </w:r>
      <w:r>
        <w:rPr>
          <w:rFonts w:hint="eastAsia" w:ascii="Times New Roman" w:hAnsi="Times New Roman" w:eastAsia="仿宋_GB2312" w:cs="Times New Roman"/>
          <w:b w:val="0"/>
          <w:bCs w:val="0"/>
          <w:color w:val="auto"/>
          <w:spacing w:val="0"/>
          <w:kern w:val="0"/>
          <w:sz w:val="32"/>
          <w:szCs w:val="32"/>
          <w:highlight w:val="none"/>
          <w:lang w:val="en-US" w:eastAsia="zh-CN" w:bidi="ar-SA"/>
        </w:rPr>
        <w:t>扶残济困</w:t>
      </w:r>
      <w:r>
        <w:rPr>
          <w:rFonts w:hint="default" w:ascii="Times New Roman" w:hAnsi="Times New Roman" w:eastAsia="仿宋_GB2312" w:cs="Times New Roman"/>
          <w:b w:val="0"/>
          <w:bCs w:val="0"/>
          <w:color w:val="auto"/>
          <w:spacing w:val="0"/>
          <w:kern w:val="0"/>
          <w:sz w:val="32"/>
          <w:szCs w:val="32"/>
          <w:highlight w:val="none"/>
          <w:lang w:val="en-US" w:eastAsia="zh-CN" w:bidi="ar-SA"/>
        </w:rPr>
        <w:t>，营造守望相助、互帮互爱的文明风尚。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楷体" w:hAnsi="楷体" w:eastAsia="楷体" w:cs="楷体"/>
          <w:b/>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（六）加强扶贫项目资产管理和监督。</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分类摸清各类扶贫项目形成的资产底数，建立扶贫项目资产台账。有序推进确权登记，合理界定扶贫项目资产权属。公益性资产要明确管护主体，落实管护责任，确保持续发挥作用。经营性资产要明晰产权关系，防止资产流失和被侵占，资产收益重点用于项目运行管护、巩固拓展脱贫攻坚成果、村级公益事业等。确权到农户或其他经营主体的扶贫资产由其自主管理运营，依法维护其财产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三、聚力做好巩固拓展脱贫攻坚成果同乡村振兴有效衔接重点工作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（七）支持乡村特色产业发展壮大。</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以田园增收、养殖富民、乡村旅游、电商流通、消费帮扶、致富带头人培育、新型经营主体提升、龙头企业带动、金融助力、科技支撑等产业发展行动为载体，培育</w:t>
      </w:r>
      <w:r>
        <w:rPr>
          <w:rFonts w:hint="eastAsia" w:ascii="仿宋_GB2312" w:hAnsi="仿宋_GB2312" w:eastAsia="仿宋_GB2312" w:cs="仿宋_GB2312"/>
          <w:b w:val="0"/>
          <w:bCs w:val="0"/>
          <w:color w:val="auto"/>
          <w:sz w:val="32"/>
          <w:szCs w:val="32"/>
          <w:lang w:val="en-US" w:eastAsia="zh-CN"/>
        </w:rPr>
        <w:t>壮大</w:t>
      </w:r>
      <w:r>
        <w:rPr>
          <w:rFonts w:hint="eastAsia" w:ascii="仿宋_GB2312" w:hAnsi="仿宋_GB2312" w:eastAsia="仿宋_GB2312" w:cs="仿宋_GB2312"/>
          <w:b w:val="0"/>
          <w:bCs w:val="0"/>
          <w:color w:val="auto"/>
          <w:sz w:val="32"/>
          <w:szCs w:val="32"/>
        </w:rPr>
        <w:t>以优质小麦、花生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红薯</w:t>
      </w:r>
      <w:r>
        <w:rPr>
          <w:rFonts w:hint="eastAsia" w:ascii="仿宋_GB2312" w:hAnsi="仿宋_GB2312" w:eastAsia="仿宋_GB2312" w:cs="仿宋_GB2312"/>
          <w:b w:val="0"/>
          <w:bCs w:val="0"/>
          <w:color w:val="auto"/>
          <w:sz w:val="32"/>
          <w:szCs w:val="32"/>
        </w:rPr>
        <w:t>为主的种植业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以生猪、黄牛为主的养殖业</w:t>
      </w:r>
      <w:r>
        <w:rPr>
          <w:rFonts w:hint="eastAsia" w:ascii="仿宋_GB2312" w:hAnsi="仿宋_GB2312" w:eastAsia="仿宋_GB2312" w:cs="仿宋_GB2312"/>
          <w:b w:val="0"/>
          <w:bCs w:val="0"/>
          <w:color w:val="auto"/>
          <w:sz w:val="32"/>
          <w:szCs w:val="32"/>
          <w:lang w:val="en-US" w:eastAsia="zh-CN"/>
        </w:rPr>
        <w:t>和以艾草、栀子、食用菌、优质桃为主的特色产业。继续与黄志、牧原等农业产业化龙头企业合作，实施特色种养业提升行动，完善全产业链支持措施，壮大乡村特色产业。加大财政、金融、税收等政策支持，提高产业整体发展水平和抗风险能力。以“粮头食尾”“农头工尾”为抓手发展现代农产品加工业，健全生产、加工、仓储保鲜、冷链物流等全产业链。</w:t>
      </w:r>
      <w:r>
        <w:rPr>
          <w:rFonts w:hint="eastAsia" w:ascii="仿宋_GB2312" w:hAnsi="仿宋_GB2312" w:eastAsia="仿宋_GB2312" w:cs="仿宋_GB2312"/>
          <w:color w:val="auto"/>
          <w:sz w:val="32"/>
          <w:szCs w:val="32"/>
          <w:shd w:val="clear" w:color="auto" w:fill="FFFFFF"/>
        </w:rPr>
        <w:t>深入推进农村“三变”改革，完善公司化运作、合作社组织生产、群众入股分红的产业发展体制机制，构建以农民为主体的产业发展平台，壮大集体经济，促进农民增收。</w:t>
      </w:r>
      <w:r>
        <w:rPr>
          <w:rFonts w:hint="eastAsia" w:ascii="仿宋_GB2312" w:hAnsi="仿宋_GB2312" w:eastAsia="仿宋_GB2312" w:cs="仿宋_GB2312"/>
          <w:color w:val="auto"/>
          <w:sz w:val="32"/>
          <w:szCs w:val="32"/>
          <w:shd w:val="clear" w:color="auto" w:fill="FFFFFF"/>
          <w:lang w:val="en-US" w:eastAsia="zh-CN"/>
        </w:rPr>
        <w:t>继续开展消费帮扶，促进带贫主体和脱贫群众农产品稳定销售。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（八）促进脱贫人口稳定就业。</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坚持动态排查，全面摸清脱贫劳动力底数和就业意愿，建立就业需求平台，分类建立扶持台账，持续做好职业技能培训、就业信息对接、劳务输出组织等服务。就近开辟就业渠道，在农业农村生产生活、交通、水利、文化旅游、林业等基础设施建设领域积极推广以工代赈方式，支持脱贫劳动力参与重大工程建设，优先吸纳脱贫不稳定户、边缘易致贫户、突发严重困难户及其他农村低收入群体参与、就近就业。提升扶贫车间运行效能，对管理规范、运转良好、帮扶效果显著的扶贫车间给予资金政策倾斜支持，提高吸纳脱贫人口、农村低收入人口就业能力。提升公益性岗位和政府购买基层服务岗位管理水平，遵循“谁开发、谁使用、谁管理、谁负责”的原则，逐步调整优化公益岗位政策，健全按需设岗、以岗聘任、在岗领补、有序退岗的管理机制，确保公益岗位真正用于安置需要岗位的无法离乡、无业可扶、脱贫不稳定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（九）持续改善乡村基础设施条件。</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结合“十四五”规划编制，深入实施乡村建设行动，加快基础设施和公共服务薄弱村的建设进度，统筹推进农村厕所革命、生活垃圾和污水治理，持续提升村容村貌。以“四好农村路”为引领，推进交通项目更多向进村入户倾斜，加大农村产业路、旅游路建设力度，加快农村公路危桥改造和安防工程建设。加强高标准农田建设管理。加快灌区续建配套与节水改造、小型农田水利工程建设，加强防洪工程建设和运行管理。统筹推进县乡村三级物流体系建设，实施“快递进村”工程。切实加强已建成基础设施和公共服务设施的后期运营管护，</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健全县级行业主管部门、乡镇、村组三级管护机制，确保物有人管、事有人办、责有人担。多渠道筹措项目运行、维护及维修费用，切实解决重建轻管问题。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（十）稳步提升乡村公共服务水平。</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继续实施家庭经济困难学生资助政策和农村义务教育学生营养改善计划。科学规划重组建设农村义务教育学校，持续改善办学条件，优化师资配备，提升教学质量，统筹推进县域内城乡义务教育一体化发展。过渡期内保持现有健康帮扶政策总体稳定，优化疾病分类救治措施，逐步调整完善住院先诊疗后付费措施。统筹整合县域资源配置，持续推进乡村医疗卫生机构标准化建设，加强基层医疗卫生人才队伍建设，完善县域医疗卫生服务体系。加快紧密型县域医共体建设。加快推进远程医疗向乡镇卫生院和村卫生室延伸。继续加强党群服务中心、文化服务中心等村级综合服务设施建设和维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（十一）支持乡村振兴重点帮扶乡镇加快发展。</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根据交通区位、资源禀赋、基础设施、公共服务设施等因素，合理确定乡村振兴重点帮扶乡镇，在财政、金融、土地、人才、基础设施建设、公共服务等方面给予集中支持。建立跟踪监测机制，进行定期监测评估。合理确定一批巩固拓展脱贫攻坚成果和乡村振兴任务重的村作为重点帮扶对象，集中支持、集中帮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四、建立健全农村低收入人口常态化帮扶机制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楷体" w:hAnsi="楷体" w:eastAsia="楷体" w:cs="楷体"/>
          <w:b/>
          <w:bCs w:val="0"/>
          <w:i w:val="0"/>
          <w:caps w:val="0"/>
          <w:color w:val="auto"/>
          <w:spacing w:val="0"/>
          <w:kern w:val="0"/>
          <w:sz w:val="32"/>
          <w:szCs w:val="32"/>
          <w:shd w:val="clear" w:fill="FFFFFF"/>
          <w:lang w:val="en-US" w:eastAsia="zh-CN" w:bidi="ar"/>
        </w:rPr>
        <w:t>（十二）加强农村低收入人口监测。</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制定完善农村低收入人口识别标准和管理办法，对农村低收入人口开展动态监测。加强组织、发改、教育、公安、民政、财政、人社、自然资源、住建、交通、水利、农业农村、卫健、应急管理、审计、市场监管、统计、医保、金融、乡村振兴、信访、大数据管理、林业、残联、税务等部门数据比对和信息共享，健全农户主动申请、基层干部走访排查、多部门联动等机制，实现对农村低收入人口返贫风险点及时发现、即时帮扶。定期核查农村低收入人口帮扶政策落实、收入变化等情况，健全完善动态调整机制。</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楷体" w:hAnsi="楷体" w:eastAsia="楷体" w:cs="楷体"/>
          <w:b/>
          <w:bCs w:val="0"/>
          <w:i w:val="0"/>
          <w:caps w:val="0"/>
          <w:color w:val="auto"/>
          <w:spacing w:val="0"/>
          <w:kern w:val="0"/>
          <w:sz w:val="32"/>
          <w:szCs w:val="32"/>
          <w:shd w:val="clear" w:fill="FFFFFF"/>
          <w:lang w:val="en-US" w:eastAsia="zh-CN" w:bidi="ar"/>
        </w:rPr>
        <w:t>（十三）分层分类实施社会救助。</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完善最低生活保障制度，科学认定农村低保对象。调整优化针对原建档立卡贫困户的低保“单人户”政策。对已就业的低保对象，在核算其家庭收入时扣减必要的就业成本。完善农村特困供养人员救助供养制度，合理提高救助供养水平和服务质量。完善残疾儿童康复救助制度，提高救助服务质量。加强社会救助资源统筹，根据对象类型、困难程度等，及时有针对性地给予困难群众医疗、教育、住房、就业等专项救助。对基本生活陷入困境的低收入家庭，按规定及时给予临时救助。持续提升“四集中”兜底保障水平，确保应兜尽兜、应住尽住、不落一人。鼓励通过政府购买服务对社会救助家庭中生活不能自理的老年人、未成年人、残疾人等提供必要的访视、照料等服务。</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default"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楷体" w:hAnsi="楷体" w:eastAsia="楷体" w:cs="楷体"/>
          <w:b/>
          <w:bCs w:val="0"/>
          <w:i w:val="0"/>
          <w:caps w:val="0"/>
          <w:color w:val="auto"/>
          <w:spacing w:val="0"/>
          <w:kern w:val="0"/>
          <w:sz w:val="32"/>
          <w:szCs w:val="32"/>
          <w:shd w:val="clear" w:fill="FFFFFF"/>
          <w:lang w:val="en-US" w:eastAsia="zh-CN" w:bidi="ar"/>
        </w:rPr>
        <w:t>（十四）合理确定农村医疗保障待遇水平。</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坚持基本标准，统筹发挥好基本医疗保险、大病保险、医疗救助三重保障制度作用。完善城乡居民基本医疗保险参保个人缴费资助政策，继续全额资助农村特困人员，定额资助低保对象，过渡期内逐步调整脱贫人口资助政策。在逐步提高大病保障水平的基础上，大病保险继续对农村低保对象、农村特困人员和返贫致贫人口进行倾斜支付。将困难群众大病补充医疗保险资金整合到医疗救助基金，合理设定年度救助限额，进一步夯实医疗救助托底保障。过渡期内不属于低保对象、特困人员和返贫致贫人口的脱贫人口，逐步转为按规定享受基本医疗保险待遇，分阶段、分对象、分类别调整脱贫攻坚期超常规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（十五）加强养老保障和儿童关爱服务。</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完善城乡居民基本养老保险代缴政策，按照最低缴费档次为参保的低保、特困人员、返贫致贫人口、重度残疾人等缴费困难群体代缴部分或全部保费。逐步提高城乡居民养老保险基础养老金最低标准。落实孤儿和事实无人抚养儿童基本生活保障制度。巩固农村留守儿童和困境儿童关爱服务体系，健全强制报告、应急处置、评估帮扶、监护干预“四位一体”救助保护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bCs/>
          <w:i w:val="0"/>
          <w:caps w:val="0"/>
          <w:color w:val="auto"/>
          <w:spacing w:val="0"/>
          <w:kern w:val="0"/>
          <w:sz w:val="32"/>
          <w:szCs w:val="32"/>
          <w:shd w:val="clear" w:fill="FFFFFF"/>
          <w:lang w:val="en-US" w:eastAsia="zh-CN" w:bidi="ar"/>
        </w:rPr>
        <w:t>（十六）保障失能半失能人口基本生活。</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对脱贫人口中完全或部分丧失劳动能力且无法通过产业就业获得稳定收入的，按规定纳入农村低保或特困人员救助供养范围，并按困难类型及时给予专项救助、临时救助等，做到应保尽保、就兜尽兜。对重度残疾人实行“四集中”医养、托养等模式，并强化托养照护、康复服务。</w:t>
      </w:r>
      <w:r>
        <w:rPr>
          <w:rFonts w:hint="eastAsia" w:ascii="仿宋_GB2312" w:hAnsi="仿宋_GB2312" w:eastAsia="仿宋_GB2312" w:cs="仿宋_GB2312"/>
          <w:b w:val="0"/>
          <w:bCs w:val="0"/>
          <w:color w:val="auto"/>
          <w:sz w:val="32"/>
          <w:szCs w:val="32"/>
          <w:lang w:val="en-US" w:eastAsia="zh-CN"/>
        </w:rPr>
        <w:t>加强农村严重精神障碍患者日常监管，落实救治救助措施。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b/>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五、加强脱贫攻坚与乡村振兴政策有效衔接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（十七）做好财政投入政策衔接。</w:t>
      </w:r>
      <w:r>
        <w:rPr>
          <w:rFonts w:hint="eastAsia" w:ascii="仿宋_GB2312" w:hAnsi="仿宋_GB2312" w:eastAsia="仿宋_GB2312" w:cs="仿宋_GB2312"/>
          <w:color w:val="auto"/>
          <w:sz w:val="32"/>
          <w:szCs w:val="32"/>
          <w:lang w:val="en-US" w:eastAsia="zh-CN"/>
        </w:rPr>
        <w:t>过渡期内保持财政支持政策总体稳定，根据巩固拓展脱贫攻坚成果同乡村振兴有效衔接的需要，合理安排财政投入规模，优化支出结构，调整支持重点。保留并调整优化原财政专项扶贫资金，聚焦支持巩固拓展脱贫攻坚成果和乡村振兴，逐步提高用于产业发展的比例。</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严格执行资金项目公告公示制度，全面接受群众和社会监督。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楷体" w:hAnsi="楷体" w:eastAsia="楷体" w:cs="楷体"/>
          <w:b/>
          <w:i w:val="0"/>
          <w:caps w:val="0"/>
          <w:color w:val="auto"/>
          <w:spacing w:val="0"/>
          <w:kern w:val="0"/>
          <w:sz w:val="32"/>
          <w:szCs w:val="32"/>
          <w:shd w:val="clear" w:fill="FFFFFF"/>
          <w:lang w:val="en-US" w:eastAsia="zh-CN" w:bidi="ar"/>
        </w:rPr>
        <w:t>（十八）做好金融服务政策衔接。</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现有扶贫小额贷款政策在展期期间保持不变，加大对乡村振兴领域的信贷支持。过渡期内继续实行“5万元以下、3年期以内、免担保免抵押、财政贴息”的小额信贷政策，风险分担保持不变，对符合条件且有贷款意愿的脱贫户、边缘易致贫户和突发严重困难户做到应贷尽贷，并根据上级要求进一步调整完善。对有较大贷款资金需求、符合贷款条件的对象，鼓励其申请普惠金融贷款、创业担保贷款政策支持。加大精准支持企业贷款力度，支持特色优势产业发展。支持开发性金融和政策性金融在业务范围内为乡村振兴提供中长期信贷服务。积极探索开发优势特色农产品保险，探索农产品期货期权和农业保险联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楷体" w:hAnsi="楷体" w:eastAsia="楷体" w:cs="楷体"/>
          <w:b/>
          <w:bCs/>
          <w:i w:val="0"/>
          <w:caps w:val="0"/>
          <w:color w:val="auto"/>
          <w:spacing w:val="0"/>
          <w:kern w:val="0"/>
          <w:sz w:val="32"/>
          <w:szCs w:val="32"/>
          <w:shd w:val="clear" w:fill="FFFFFF"/>
          <w:lang w:val="en-US" w:eastAsia="zh-CN" w:bidi="ar"/>
        </w:rPr>
        <w:t>（十九）做好人才智力支持政策衔接。</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继续实施脱贫攻坚期间各项人才智力支持政策，建立健全引导各类人才服务乡村振兴长效机制。继续实施农村义务教育阶段教师特岗计划、中小学幼儿园教师国家级培训计划、乡村教师生活补助政策，优化义务教育教师资源配置。持续实施全科医生特岗计划，逐步扩大订单定向免费医学生培养规模，逐步健全乡村医生“乡聘村用”制度。探索对农业科技推广人员“县管乡用、下沉到村”新机制。深入推行科技特派员制度，助推人才下沉、科技下乡。继续支持脱贫户“两后生”接受职业教育，并按规定给予相应资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六、全面加强党的集中统一领导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楷体" w:hAnsi="楷体" w:eastAsia="楷体" w:cs="楷体"/>
          <w:b/>
          <w:bCs/>
          <w:i w:val="0"/>
          <w:caps w:val="0"/>
          <w:color w:val="auto"/>
          <w:spacing w:val="0"/>
          <w:sz w:val="32"/>
          <w:szCs w:val="32"/>
          <w:shd w:val="clear" w:fill="FFFFFF"/>
          <w:lang w:val="en-US" w:eastAsia="zh-CN"/>
        </w:rPr>
        <w:t>（二十）做好领导体制衔接。</w:t>
      </w:r>
      <w:r>
        <w:rPr>
          <w:rFonts w:hint="eastAsia" w:ascii="仿宋_GB2312" w:hAnsi="仿宋_GB2312" w:eastAsia="仿宋_GB2312" w:cs="仿宋_GB2312"/>
          <w:b w:val="0"/>
          <w:bCs w:val="0"/>
          <w:i w:val="0"/>
          <w:caps w:val="0"/>
          <w:color w:val="auto"/>
          <w:spacing w:val="0"/>
          <w:sz w:val="32"/>
          <w:szCs w:val="32"/>
          <w:shd w:val="clear" w:fill="FFFFFF"/>
          <w:lang w:val="en-US" w:eastAsia="zh-CN"/>
        </w:rPr>
        <w:t>坚持县乡村三级书记抓巩固拓展脱贫攻坚成果和乡村振兴，健全县乡抓落实的工作机制。做好巩固拓展脱贫攻坚成果同全面推进乡村振兴的工作力量、组织保障、规划实施、项目建设、要素保障等方面的有机结合，做到一盘棋、一体化推进。充分发挥县巩固拓展脱贫攻坚工作</w:t>
      </w:r>
      <w:bookmarkStart w:id="0" w:name="_GoBack"/>
      <w:bookmarkEnd w:id="0"/>
      <w:r>
        <w:rPr>
          <w:rFonts w:hint="eastAsia" w:ascii="仿宋_GB2312" w:hAnsi="仿宋_GB2312" w:eastAsia="仿宋_GB2312" w:cs="仿宋_GB2312"/>
          <w:b w:val="0"/>
          <w:bCs w:val="0"/>
          <w:i w:val="0"/>
          <w:caps w:val="0"/>
          <w:color w:val="auto"/>
          <w:spacing w:val="0"/>
          <w:sz w:val="32"/>
          <w:szCs w:val="32"/>
          <w:shd w:val="clear" w:fill="FFFFFF"/>
          <w:lang w:val="en-US" w:eastAsia="zh-CN"/>
        </w:rPr>
        <w:t>领导小组、乡村振兴领导小组作用，建立统一高效的议事协调机制。</w:t>
      </w:r>
      <w:r>
        <w:rPr>
          <w:rFonts w:hint="eastAsia" w:ascii="仿宋_GB2312" w:hAnsi="仿宋_GB2312" w:eastAsia="仿宋_GB2312" w:cs="仿宋_GB2312"/>
          <w:i w:val="0"/>
          <w:caps w:val="0"/>
          <w:color w:val="auto"/>
          <w:spacing w:val="0"/>
          <w:sz w:val="32"/>
          <w:szCs w:val="32"/>
          <w:shd w:val="clear" w:fill="FFFFFF"/>
          <w:lang w:eastAsia="zh-CN"/>
        </w:rPr>
        <w:t>各乡镇（街道）</w:t>
      </w:r>
      <w:r>
        <w:rPr>
          <w:rFonts w:hint="eastAsia" w:ascii="仿宋_GB2312" w:hAnsi="仿宋_GB2312" w:eastAsia="仿宋_GB2312" w:cs="仿宋_GB2312"/>
          <w:i w:val="0"/>
          <w:caps w:val="0"/>
          <w:color w:val="auto"/>
          <w:spacing w:val="0"/>
          <w:sz w:val="32"/>
          <w:szCs w:val="32"/>
          <w:shd w:val="clear" w:fill="FFFFFF"/>
        </w:rPr>
        <w:t>党政主要负责同志</w:t>
      </w:r>
      <w:r>
        <w:rPr>
          <w:rFonts w:hint="eastAsia" w:ascii="仿宋_GB2312" w:hAnsi="仿宋_GB2312" w:eastAsia="仿宋_GB2312" w:cs="仿宋_GB2312"/>
          <w:i w:val="0"/>
          <w:caps w:val="0"/>
          <w:color w:val="auto"/>
          <w:spacing w:val="0"/>
          <w:sz w:val="32"/>
          <w:szCs w:val="32"/>
          <w:shd w:val="clear" w:fill="FFFFFF"/>
          <w:lang w:val="en-US" w:eastAsia="zh-CN"/>
        </w:rPr>
        <w:t>要切实</w:t>
      </w:r>
      <w:r>
        <w:rPr>
          <w:rFonts w:hint="eastAsia" w:ascii="仿宋_GB2312" w:hAnsi="仿宋_GB2312" w:eastAsia="仿宋_GB2312" w:cs="仿宋_GB2312"/>
          <w:i w:val="0"/>
          <w:caps w:val="0"/>
          <w:color w:val="auto"/>
          <w:spacing w:val="0"/>
          <w:sz w:val="32"/>
          <w:szCs w:val="32"/>
          <w:shd w:val="clear" w:fill="FFFFFF"/>
        </w:rPr>
        <w:t>履行</w:t>
      </w:r>
      <w:r>
        <w:rPr>
          <w:rFonts w:hint="eastAsia" w:ascii="仿宋_GB2312" w:hAnsi="仿宋_GB2312" w:eastAsia="仿宋_GB2312" w:cs="仿宋_GB2312"/>
          <w:i w:val="0"/>
          <w:caps w:val="0"/>
          <w:color w:val="auto"/>
          <w:spacing w:val="0"/>
          <w:sz w:val="32"/>
          <w:szCs w:val="32"/>
          <w:shd w:val="clear" w:fill="FFFFFF"/>
          <w:lang w:val="en-US" w:eastAsia="zh-CN"/>
        </w:rPr>
        <w:t>好</w:t>
      </w:r>
      <w:r>
        <w:rPr>
          <w:rFonts w:hint="eastAsia" w:ascii="仿宋_GB2312" w:hAnsi="仿宋_GB2312" w:eastAsia="仿宋_GB2312" w:cs="仿宋_GB2312"/>
          <w:i w:val="0"/>
          <w:caps w:val="0"/>
          <w:color w:val="auto"/>
          <w:spacing w:val="0"/>
          <w:sz w:val="32"/>
          <w:szCs w:val="32"/>
          <w:shd w:val="clear" w:fill="FFFFFF"/>
        </w:rPr>
        <w:t>第一责任人职责，不折不扣落实各项决策部署。</w:t>
      </w:r>
      <w:r>
        <w:rPr>
          <w:rFonts w:hint="eastAsia" w:ascii="仿宋_GB2312" w:hAnsi="仿宋_GB2312" w:eastAsia="仿宋_GB2312" w:cs="仿宋_GB2312"/>
          <w:i w:val="0"/>
          <w:caps w:val="0"/>
          <w:color w:val="auto"/>
          <w:spacing w:val="0"/>
          <w:sz w:val="32"/>
          <w:szCs w:val="32"/>
          <w:shd w:val="clear" w:fill="FFFFFF"/>
          <w:lang w:val="en-US" w:eastAsia="zh-CN"/>
        </w:rPr>
        <w:t>承担“两不愁三保障”政策落实的县直行业单位，要切实起到牵头抓总作用，根据巩固拓展脱贫攻坚成果同乡村振兴有效衔接工作任务，做好各自工作推进落实。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楷体" w:hAnsi="楷体" w:eastAsia="楷体" w:cs="楷体"/>
          <w:b/>
          <w:bCs/>
          <w:i w:val="0"/>
          <w:caps w:val="0"/>
          <w:color w:val="auto"/>
          <w:spacing w:val="0"/>
          <w:sz w:val="32"/>
          <w:szCs w:val="32"/>
          <w:shd w:val="clear" w:fill="FFFFFF"/>
          <w:lang w:val="en-US" w:eastAsia="zh-CN"/>
        </w:rPr>
        <w:t>（二十一）做好基层基础衔接</w:t>
      </w:r>
      <w:r>
        <w:rPr>
          <w:rFonts w:hint="eastAsia" w:ascii="楷体" w:hAnsi="楷体" w:eastAsia="楷体" w:cs="楷体"/>
          <w:b/>
          <w:bCs/>
          <w:i w:val="0"/>
          <w:caps w:val="0"/>
          <w:color w:val="auto"/>
          <w:spacing w:val="0"/>
          <w:sz w:val="32"/>
          <w:szCs w:val="32"/>
          <w:shd w:val="clear" w:fill="FFFFFF"/>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将全域党建助力脱贫攻坚的好经验持续运用到巩固拓展脱贫攻坚成果和乡村振兴工作中来，夯实基层组织保障。选优配强乡镇领导班子，全面加强农村党组织建设，选好用好管好乡村振兴带头人。对巩固拓展脱贫攻坚成果和乡村振兴任务重的村、基层党组织软弱涣散村、集体经济空壳村，继续选派驻村第一书记和工作队。建立原建档立卡贫困村党组织发挥作用情况动态监测机制，及时排查整顿软弱涣散党组织。发展壮大村集体经济，加大对脱贫村、集体经济薄弱村的运转经费保障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楷体" w:hAnsi="楷体" w:eastAsia="楷体" w:cs="楷体"/>
          <w:b/>
          <w:bCs/>
          <w:i w:val="0"/>
          <w:caps w:val="0"/>
          <w:color w:val="auto"/>
          <w:spacing w:val="0"/>
          <w:sz w:val="32"/>
          <w:szCs w:val="32"/>
          <w:shd w:val="clear" w:fill="FFFFFF"/>
          <w:lang w:val="en-US" w:eastAsia="zh-CN"/>
        </w:rPr>
        <w:t>（二十二）做好规划实施衔接。</w:t>
      </w:r>
      <w:r>
        <w:rPr>
          <w:rFonts w:hint="eastAsia" w:ascii="仿宋_GB2312" w:hAnsi="仿宋_GB2312" w:eastAsia="仿宋_GB2312" w:cs="仿宋_GB2312"/>
          <w:i w:val="0"/>
          <w:caps w:val="0"/>
          <w:color w:val="auto"/>
          <w:spacing w:val="0"/>
          <w:sz w:val="32"/>
          <w:szCs w:val="32"/>
          <w:shd w:val="clear" w:fill="FFFFFF"/>
          <w:lang w:eastAsia="zh-CN"/>
        </w:rPr>
        <w:t>各乡镇（街道）、</w:t>
      </w:r>
      <w:r>
        <w:rPr>
          <w:rFonts w:hint="eastAsia" w:ascii="仿宋_GB2312" w:hAnsi="仿宋_GB2312" w:eastAsia="仿宋_GB2312" w:cs="仿宋_GB2312"/>
          <w:i w:val="0"/>
          <w:caps w:val="0"/>
          <w:color w:val="auto"/>
          <w:spacing w:val="0"/>
          <w:sz w:val="32"/>
          <w:szCs w:val="32"/>
          <w:shd w:val="clear" w:fill="FFFFFF"/>
          <w:lang w:val="en-US" w:eastAsia="zh-CN"/>
        </w:rPr>
        <w:t>县直有关部门要将巩固拓展脱贫攻坚成果、推进乡村振兴、加强农村低收入人口常态化帮扶等列入“十四五”规划重点内容，把巩固拓展脱贫攻坚成果同乡村振兴有效衔接的重大举措、重大工程、重点项目等纳入“十四五”规划“大盘子”，实现巩固拓展脱贫攻坚成果同乡村振兴有效衔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楷体" w:hAnsi="楷体" w:eastAsia="楷体" w:cs="楷体"/>
          <w:b/>
          <w:bCs/>
          <w:i w:val="0"/>
          <w:caps w:val="0"/>
          <w:color w:val="auto"/>
          <w:spacing w:val="0"/>
          <w:sz w:val="32"/>
          <w:szCs w:val="32"/>
          <w:shd w:val="clear" w:fill="FFFFFF"/>
          <w:lang w:eastAsia="zh-CN"/>
        </w:rPr>
        <w:t>（</w:t>
      </w:r>
      <w:r>
        <w:rPr>
          <w:rFonts w:hint="eastAsia" w:ascii="楷体" w:hAnsi="楷体" w:eastAsia="楷体" w:cs="楷体"/>
          <w:b/>
          <w:bCs/>
          <w:i w:val="0"/>
          <w:caps w:val="0"/>
          <w:color w:val="auto"/>
          <w:spacing w:val="0"/>
          <w:sz w:val="32"/>
          <w:szCs w:val="32"/>
          <w:shd w:val="clear" w:fill="FFFFFF"/>
          <w:lang w:val="en-US" w:eastAsia="zh-CN"/>
        </w:rPr>
        <w:t>二十三</w:t>
      </w:r>
      <w:r>
        <w:rPr>
          <w:rFonts w:hint="eastAsia" w:ascii="楷体" w:hAnsi="楷体" w:eastAsia="楷体" w:cs="楷体"/>
          <w:b/>
          <w:bCs/>
          <w:i w:val="0"/>
          <w:caps w:val="0"/>
          <w:color w:val="auto"/>
          <w:spacing w:val="0"/>
          <w:sz w:val="32"/>
          <w:szCs w:val="32"/>
          <w:shd w:val="clear" w:fill="FFFFFF"/>
          <w:lang w:eastAsia="zh-CN"/>
        </w:rPr>
        <w:t>）</w:t>
      </w:r>
      <w:r>
        <w:rPr>
          <w:rFonts w:hint="eastAsia" w:ascii="楷体" w:hAnsi="楷体" w:eastAsia="楷体" w:cs="楷体"/>
          <w:b/>
          <w:bCs/>
          <w:i w:val="0"/>
          <w:caps w:val="0"/>
          <w:color w:val="auto"/>
          <w:spacing w:val="0"/>
          <w:sz w:val="32"/>
          <w:szCs w:val="32"/>
          <w:shd w:val="clear" w:fill="FFFFFF"/>
          <w:lang w:val="en-US" w:eastAsia="zh-CN"/>
        </w:rPr>
        <w:t>做好推进机制衔接。</w:t>
      </w:r>
      <w:r>
        <w:rPr>
          <w:rFonts w:hint="eastAsia" w:ascii="仿宋_GB2312" w:hAnsi="仿宋_GB2312" w:eastAsia="仿宋_GB2312" w:cs="仿宋_GB2312"/>
          <w:b w:val="0"/>
          <w:bCs w:val="0"/>
          <w:i w:val="0"/>
          <w:caps w:val="0"/>
          <w:color w:val="auto"/>
          <w:spacing w:val="0"/>
          <w:sz w:val="32"/>
          <w:szCs w:val="32"/>
          <w:shd w:val="clear" w:fill="FFFFFF"/>
          <w:lang w:val="en-US" w:eastAsia="zh-CN"/>
        </w:rPr>
        <w:t>各乡镇（街道）党（工）委、政府（办事处）要及时研究、及时部署、专班负责、专班推动巩固拓展脱贫攻坚成果和乡村振兴工作。县直有关单位定期沟通新老政策持续、转换事宜，加强工作指导，有序推动政策衔接。实行季度会商制度，定期对各乡镇、村工作进展情况分析研判，及时解决重大问题。总结运用扶贫领域腐败和作风问题专项治理经验做法，加强惠民富民、促进共同富裕政策措施落实情况监督检查。开展对巩固拓展脱贫攻坚成果和乡村振兴工作的审计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楷体" w:hAnsi="楷体" w:eastAsia="楷体" w:cs="楷体"/>
          <w:b/>
          <w:bCs/>
          <w:i w:val="0"/>
          <w:caps w:val="0"/>
          <w:color w:val="auto"/>
          <w:spacing w:val="0"/>
          <w:sz w:val="32"/>
          <w:szCs w:val="32"/>
          <w:shd w:val="clear" w:fill="FFFFFF"/>
          <w:lang w:eastAsia="zh-CN"/>
        </w:rPr>
        <w:t>（</w:t>
      </w:r>
      <w:r>
        <w:rPr>
          <w:rFonts w:hint="eastAsia" w:ascii="楷体" w:hAnsi="楷体" w:eastAsia="楷体" w:cs="楷体"/>
          <w:b/>
          <w:bCs/>
          <w:i w:val="0"/>
          <w:caps w:val="0"/>
          <w:color w:val="auto"/>
          <w:spacing w:val="0"/>
          <w:sz w:val="32"/>
          <w:szCs w:val="32"/>
          <w:shd w:val="clear" w:fill="FFFFFF"/>
          <w:lang w:val="en-US" w:eastAsia="zh-CN"/>
        </w:rPr>
        <w:t>二十四</w:t>
      </w:r>
      <w:r>
        <w:rPr>
          <w:rFonts w:hint="eastAsia" w:ascii="楷体" w:hAnsi="楷体" w:eastAsia="楷体" w:cs="楷体"/>
          <w:b/>
          <w:bCs/>
          <w:i w:val="0"/>
          <w:caps w:val="0"/>
          <w:color w:val="auto"/>
          <w:spacing w:val="0"/>
          <w:sz w:val="32"/>
          <w:szCs w:val="32"/>
          <w:shd w:val="clear" w:fill="FFFFFF"/>
          <w:lang w:eastAsia="zh-CN"/>
        </w:rPr>
        <w:t>）</w:t>
      </w:r>
      <w:r>
        <w:rPr>
          <w:rFonts w:hint="eastAsia" w:ascii="楷体" w:hAnsi="楷体" w:eastAsia="楷体" w:cs="楷体"/>
          <w:b/>
          <w:bCs/>
          <w:i w:val="0"/>
          <w:caps w:val="0"/>
          <w:color w:val="auto"/>
          <w:spacing w:val="0"/>
          <w:sz w:val="32"/>
          <w:szCs w:val="32"/>
          <w:shd w:val="clear" w:fill="FFFFFF"/>
          <w:lang w:val="en-US" w:eastAsia="zh-CN"/>
        </w:rPr>
        <w:t>做好考核机制衔接。</w:t>
      </w:r>
      <w:r>
        <w:rPr>
          <w:rFonts w:hint="eastAsia" w:ascii="仿宋_GB2312" w:hAnsi="仿宋_GB2312" w:eastAsia="仿宋_GB2312" w:cs="仿宋_GB2312"/>
          <w:b w:val="0"/>
          <w:bCs w:val="0"/>
          <w:i w:val="0"/>
          <w:caps w:val="0"/>
          <w:color w:val="auto"/>
          <w:spacing w:val="0"/>
          <w:sz w:val="32"/>
          <w:szCs w:val="32"/>
          <w:shd w:val="clear" w:fill="FFFFFF"/>
          <w:lang w:val="en-US" w:eastAsia="zh-CN"/>
        </w:rPr>
        <w:t>按照国家、省、市部署，2021年对巩固拓展脱贫攻坚情况组织开展后评估。从2021年起，把巩固拓展脱贫攻坚成果纳入乡镇（街道）、县直单位领导班子和领导干部推进乡村振兴战略实绩考核范围，科学设置指标，提高考核实效，将考核结果作为干部选拔任用、评先奖优、追责问责的重要参考，进一步强化指挥棒任用，提升工作质量和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i w:val="0"/>
          <w:caps w:val="0"/>
          <w:color w:val="auto"/>
          <w:spacing w:val="0"/>
          <w:sz w:val="32"/>
          <w:szCs w:val="32"/>
          <w:shd w:val="clear" w:fill="FFFFFF"/>
          <w:lang w:val="en-US" w:eastAsia="zh-CN"/>
        </w:rPr>
      </w:pPr>
    </w:p>
    <w:sectPr>
      <w:headerReference r:id="rId3" w:type="default"/>
      <w:footerReference r:id="rId4" w:type="default"/>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B5466"/>
    <w:rsid w:val="00273F86"/>
    <w:rsid w:val="004A485E"/>
    <w:rsid w:val="005F26A2"/>
    <w:rsid w:val="00BF3525"/>
    <w:rsid w:val="00D869F0"/>
    <w:rsid w:val="00F6169F"/>
    <w:rsid w:val="00FD6944"/>
    <w:rsid w:val="011F7675"/>
    <w:rsid w:val="02AF55B8"/>
    <w:rsid w:val="035044DF"/>
    <w:rsid w:val="04B3659F"/>
    <w:rsid w:val="04D34E88"/>
    <w:rsid w:val="051910E1"/>
    <w:rsid w:val="052B75FA"/>
    <w:rsid w:val="06D6394E"/>
    <w:rsid w:val="06DC2269"/>
    <w:rsid w:val="07992ADE"/>
    <w:rsid w:val="09287D0D"/>
    <w:rsid w:val="09815E64"/>
    <w:rsid w:val="0A415153"/>
    <w:rsid w:val="0AA70518"/>
    <w:rsid w:val="0B6C218C"/>
    <w:rsid w:val="0C257926"/>
    <w:rsid w:val="0CEA7C08"/>
    <w:rsid w:val="0D3222B5"/>
    <w:rsid w:val="0D4B2309"/>
    <w:rsid w:val="0D854DB2"/>
    <w:rsid w:val="0E271655"/>
    <w:rsid w:val="0EBE75F0"/>
    <w:rsid w:val="0F504AE5"/>
    <w:rsid w:val="0F543363"/>
    <w:rsid w:val="0FFE2B1E"/>
    <w:rsid w:val="10081A13"/>
    <w:rsid w:val="10AD5075"/>
    <w:rsid w:val="11960033"/>
    <w:rsid w:val="12C37A25"/>
    <w:rsid w:val="12CC2488"/>
    <w:rsid w:val="14B37E1B"/>
    <w:rsid w:val="14DA0EDD"/>
    <w:rsid w:val="16F666D0"/>
    <w:rsid w:val="172E7DBA"/>
    <w:rsid w:val="18344554"/>
    <w:rsid w:val="184C1C29"/>
    <w:rsid w:val="1871477F"/>
    <w:rsid w:val="18A00096"/>
    <w:rsid w:val="18B976D6"/>
    <w:rsid w:val="18BF5797"/>
    <w:rsid w:val="19010957"/>
    <w:rsid w:val="19F05911"/>
    <w:rsid w:val="1A104FA4"/>
    <w:rsid w:val="1A3E7923"/>
    <w:rsid w:val="1D441209"/>
    <w:rsid w:val="1E112526"/>
    <w:rsid w:val="1E62198E"/>
    <w:rsid w:val="1F4239B0"/>
    <w:rsid w:val="206E1557"/>
    <w:rsid w:val="21E23F3B"/>
    <w:rsid w:val="225D5488"/>
    <w:rsid w:val="231C12C8"/>
    <w:rsid w:val="254C388B"/>
    <w:rsid w:val="25A70F7E"/>
    <w:rsid w:val="25F65227"/>
    <w:rsid w:val="2636321F"/>
    <w:rsid w:val="27A418E6"/>
    <w:rsid w:val="27C56322"/>
    <w:rsid w:val="28172590"/>
    <w:rsid w:val="283D10F9"/>
    <w:rsid w:val="28645A88"/>
    <w:rsid w:val="28AE14A9"/>
    <w:rsid w:val="29152B35"/>
    <w:rsid w:val="2A154DB5"/>
    <w:rsid w:val="2AA92562"/>
    <w:rsid w:val="2B49596B"/>
    <w:rsid w:val="2B5E6B82"/>
    <w:rsid w:val="2DBC73F3"/>
    <w:rsid w:val="2E1E5B9C"/>
    <w:rsid w:val="2E265CF7"/>
    <w:rsid w:val="2E2A1E07"/>
    <w:rsid w:val="2F4F57A4"/>
    <w:rsid w:val="30525816"/>
    <w:rsid w:val="305B00E4"/>
    <w:rsid w:val="3066199D"/>
    <w:rsid w:val="30C44E55"/>
    <w:rsid w:val="30CA6780"/>
    <w:rsid w:val="31010F69"/>
    <w:rsid w:val="322F0BDB"/>
    <w:rsid w:val="3232740E"/>
    <w:rsid w:val="32CF1740"/>
    <w:rsid w:val="33817376"/>
    <w:rsid w:val="355D4DDE"/>
    <w:rsid w:val="36235EA1"/>
    <w:rsid w:val="364A332A"/>
    <w:rsid w:val="367209DC"/>
    <w:rsid w:val="36EC4E2F"/>
    <w:rsid w:val="37115841"/>
    <w:rsid w:val="37996703"/>
    <w:rsid w:val="38EC1CBA"/>
    <w:rsid w:val="3A3620C4"/>
    <w:rsid w:val="3AF1385B"/>
    <w:rsid w:val="3C1B56A2"/>
    <w:rsid w:val="3CF90C0F"/>
    <w:rsid w:val="3D577D84"/>
    <w:rsid w:val="3FB57262"/>
    <w:rsid w:val="3FD97967"/>
    <w:rsid w:val="414A0BD1"/>
    <w:rsid w:val="41B25C3C"/>
    <w:rsid w:val="430D6FC8"/>
    <w:rsid w:val="43B91EE7"/>
    <w:rsid w:val="44C25AC5"/>
    <w:rsid w:val="452E7FBC"/>
    <w:rsid w:val="45AC244B"/>
    <w:rsid w:val="460B5DA2"/>
    <w:rsid w:val="46497583"/>
    <w:rsid w:val="46AE7A46"/>
    <w:rsid w:val="484818C8"/>
    <w:rsid w:val="488E2028"/>
    <w:rsid w:val="48CC5636"/>
    <w:rsid w:val="48D55939"/>
    <w:rsid w:val="48D8694E"/>
    <w:rsid w:val="49266467"/>
    <w:rsid w:val="49805936"/>
    <w:rsid w:val="4AD5241D"/>
    <w:rsid w:val="4BCF191A"/>
    <w:rsid w:val="4CA371F4"/>
    <w:rsid w:val="4CA62184"/>
    <w:rsid w:val="4D230453"/>
    <w:rsid w:val="4D3D5314"/>
    <w:rsid w:val="4DC05CDC"/>
    <w:rsid w:val="4E19089D"/>
    <w:rsid w:val="4E991A07"/>
    <w:rsid w:val="4F9C3D59"/>
    <w:rsid w:val="4FD95990"/>
    <w:rsid w:val="5038225B"/>
    <w:rsid w:val="51437146"/>
    <w:rsid w:val="523D0EC1"/>
    <w:rsid w:val="552E476D"/>
    <w:rsid w:val="57E1327E"/>
    <w:rsid w:val="57EB62B1"/>
    <w:rsid w:val="589271E6"/>
    <w:rsid w:val="58CC39F7"/>
    <w:rsid w:val="59BD16E2"/>
    <w:rsid w:val="5A931A8A"/>
    <w:rsid w:val="5B591BCE"/>
    <w:rsid w:val="5BFE3748"/>
    <w:rsid w:val="5C6F13D8"/>
    <w:rsid w:val="5CD26043"/>
    <w:rsid w:val="5CF23DAF"/>
    <w:rsid w:val="5DB82A10"/>
    <w:rsid w:val="5DEC4E3E"/>
    <w:rsid w:val="5E020FB1"/>
    <w:rsid w:val="5EB22FFA"/>
    <w:rsid w:val="5ECE3EEA"/>
    <w:rsid w:val="5F134F9B"/>
    <w:rsid w:val="60697484"/>
    <w:rsid w:val="608A6B1B"/>
    <w:rsid w:val="614949CD"/>
    <w:rsid w:val="62C33372"/>
    <w:rsid w:val="637560CB"/>
    <w:rsid w:val="648A3142"/>
    <w:rsid w:val="64B30783"/>
    <w:rsid w:val="66470644"/>
    <w:rsid w:val="667767F9"/>
    <w:rsid w:val="66B6429C"/>
    <w:rsid w:val="67A77B12"/>
    <w:rsid w:val="684B008C"/>
    <w:rsid w:val="68914B0A"/>
    <w:rsid w:val="6AAC5B8C"/>
    <w:rsid w:val="6B0370E6"/>
    <w:rsid w:val="6C8C2317"/>
    <w:rsid w:val="6CAA0B69"/>
    <w:rsid w:val="6E0A0B5F"/>
    <w:rsid w:val="6E5501A8"/>
    <w:rsid w:val="6E65335D"/>
    <w:rsid w:val="6E8E2B82"/>
    <w:rsid w:val="6F1463E5"/>
    <w:rsid w:val="6F6B3D39"/>
    <w:rsid w:val="6F9B1D8B"/>
    <w:rsid w:val="70755B66"/>
    <w:rsid w:val="715333A6"/>
    <w:rsid w:val="71CE5FE9"/>
    <w:rsid w:val="723458D4"/>
    <w:rsid w:val="72F9270A"/>
    <w:rsid w:val="72FE5C2A"/>
    <w:rsid w:val="733F7169"/>
    <w:rsid w:val="73B72789"/>
    <w:rsid w:val="74A72E03"/>
    <w:rsid w:val="74CF08DF"/>
    <w:rsid w:val="75A407FB"/>
    <w:rsid w:val="75E30A18"/>
    <w:rsid w:val="76D143ED"/>
    <w:rsid w:val="78CC55E4"/>
    <w:rsid w:val="79697BC6"/>
    <w:rsid w:val="7AF36F6F"/>
    <w:rsid w:val="7B7C69D2"/>
    <w:rsid w:val="7C8E1A4E"/>
    <w:rsid w:val="7D0655F2"/>
    <w:rsid w:val="7D18726C"/>
    <w:rsid w:val="7DBB0284"/>
    <w:rsid w:val="7E3C1674"/>
    <w:rsid w:val="7E7A658C"/>
    <w:rsid w:val="7F5F240F"/>
    <w:rsid w:val="7F7621CA"/>
    <w:rsid w:val="7F8B5466"/>
    <w:rsid w:val="7F95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5">
    <w:name w:val="Body Text"/>
    <w:basedOn w:val="1"/>
    <w:next w:val="6"/>
    <w:qFormat/>
    <w:uiPriority w:val="0"/>
    <w:pPr>
      <w:spacing w:after="120"/>
    </w:pPr>
    <w:rPr>
      <w:rFonts w:ascii="Times New Roman" w:hAnsi="Times New Roman" w:eastAsia="宋体" w:cs="Times New Roman"/>
    </w:rPr>
  </w:style>
  <w:style w:type="paragraph" w:customStyle="1" w:styleId="6">
    <w:name w:val="Body Text 2"/>
    <w:basedOn w:val="1"/>
    <w:qFormat/>
    <w:uiPriority w:val="0"/>
    <w:pPr>
      <w:spacing w:after="120" w:line="480" w:lineRule="auto"/>
    </w:pPr>
    <w:rPr>
      <w:rFonts w:ascii="Times New Roman" w:hAnsi="Times New Roman"/>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5"/>
    <w:qFormat/>
    <w:uiPriority w:val="0"/>
    <w:pPr>
      <w:ind w:firstLine="420" w:firstLineChars="100"/>
    </w:pPr>
  </w:style>
  <w:style w:type="character" w:styleId="13">
    <w:name w:val="Strong"/>
    <w:basedOn w:val="12"/>
    <w:qFormat/>
    <w:uiPriority w:val="0"/>
    <w:rPr>
      <w:b/>
    </w:rPr>
  </w:style>
  <w:style w:type="paragraph" w:customStyle="1" w:styleId="14">
    <w:name w:val="正文文本 21"/>
    <w:basedOn w:val="1"/>
    <w:qFormat/>
    <w:uiPriority w:val="0"/>
    <w:pPr>
      <w:spacing w:after="120" w:line="480" w:lineRule="auto"/>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2020-08-24T10:43:00Z</dcterms:created>
  <dc:creator>Administrator</dc:creator>
  <cp:lastModifiedBy>Lenovo</cp:lastModifiedBy>
  <dcterms:modified xsi:type="dcterms:W3CDTF">2021-11-08T00:58:21Z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25753C83821741E4ABDA4EA4E7DDC1C7</vt:lpwstr>
  </property>
</Properties>
</file>