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lang w:val="en-US" w:eastAsia="zh-CN"/>
        </w:rPr>
        <w:t>唐河县退役军人事务局</w:t>
      </w:r>
      <w:r>
        <w:rPr>
          <w:rFonts w:hint="eastAsia" w:ascii="黑体" w:hAnsi="黑体" w:eastAsia="黑体" w:cs="黑体"/>
          <w:sz w:val="44"/>
          <w:szCs w:val="44"/>
        </w:rPr>
        <w:t>信息公开事项清单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
        <w:gridCol w:w="1242"/>
        <w:gridCol w:w="1382"/>
        <w:gridCol w:w="1583"/>
        <w:gridCol w:w="1874"/>
        <w:gridCol w:w="2955"/>
        <w:gridCol w:w="1215"/>
        <w:gridCol w:w="645"/>
        <w:gridCol w:w="765"/>
        <w:gridCol w:w="780"/>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954" w:type="dxa"/>
            <w:vMerge w:val="restart"/>
            <w:vAlign w:val="center"/>
          </w:tcPr>
          <w:p>
            <w:pPr>
              <w:jc w:val="center"/>
              <w:rPr>
                <w:rFonts w:hint="eastAsia" w:ascii="黑体" w:hAnsi="黑体" w:eastAsia="黑体" w:cs="黑体"/>
              </w:rPr>
            </w:pPr>
            <w:r>
              <w:rPr>
                <w:rFonts w:hint="eastAsia" w:ascii="黑体" w:hAnsi="黑体" w:eastAsia="黑体" w:cs="黑体"/>
              </w:rPr>
              <w:t>序号</w:t>
            </w:r>
          </w:p>
        </w:tc>
        <w:tc>
          <w:tcPr>
            <w:tcW w:w="2624" w:type="dxa"/>
            <w:gridSpan w:val="2"/>
            <w:vAlign w:val="center"/>
          </w:tcPr>
          <w:p>
            <w:pPr>
              <w:jc w:val="center"/>
              <w:rPr>
                <w:rFonts w:hint="eastAsia" w:ascii="黑体" w:hAnsi="黑体" w:eastAsia="黑体" w:cs="黑体"/>
              </w:rPr>
            </w:pPr>
            <w:r>
              <w:rPr>
                <w:rFonts w:hint="eastAsia" w:ascii="黑体" w:hAnsi="黑体" w:eastAsia="黑体" w:cs="黑体"/>
              </w:rPr>
              <w:t>公开事项</w:t>
            </w:r>
          </w:p>
        </w:tc>
        <w:tc>
          <w:tcPr>
            <w:tcW w:w="1583" w:type="dxa"/>
            <w:vMerge w:val="restart"/>
            <w:vAlign w:val="center"/>
          </w:tcPr>
          <w:p>
            <w:pPr>
              <w:jc w:val="center"/>
              <w:rPr>
                <w:rFonts w:hint="eastAsia" w:ascii="黑体" w:hAnsi="黑体" w:eastAsia="黑体" w:cs="黑体"/>
              </w:rPr>
            </w:pPr>
            <w:r>
              <w:rPr>
                <w:rFonts w:hint="eastAsia" w:ascii="黑体" w:hAnsi="黑体" w:eastAsia="黑体" w:cs="黑体"/>
              </w:rPr>
              <w:t>公开内容</w:t>
            </w:r>
          </w:p>
        </w:tc>
        <w:tc>
          <w:tcPr>
            <w:tcW w:w="1874" w:type="dxa"/>
            <w:vMerge w:val="restart"/>
            <w:vAlign w:val="center"/>
          </w:tcPr>
          <w:p>
            <w:pPr>
              <w:jc w:val="center"/>
              <w:rPr>
                <w:rFonts w:hint="eastAsia" w:ascii="黑体" w:hAnsi="黑体" w:eastAsia="黑体" w:cs="黑体"/>
              </w:rPr>
            </w:pPr>
            <w:r>
              <w:rPr>
                <w:rFonts w:hint="eastAsia" w:ascii="黑体" w:hAnsi="黑体" w:eastAsia="黑体" w:cs="黑体"/>
              </w:rPr>
              <w:t>公开依据</w:t>
            </w:r>
          </w:p>
        </w:tc>
        <w:tc>
          <w:tcPr>
            <w:tcW w:w="2955" w:type="dxa"/>
            <w:vMerge w:val="restart"/>
            <w:vAlign w:val="center"/>
          </w:tcPr>
          <w:p>
            <w:pPr>
              <w:jc w:val="center"/>
              <w:rPr>
                <w:rFonts w:hint="eastAsia" w:ascii="黑体" w:hAnsi="黑体" w:eastAsia="黑体" w:cs="黑体"/>
              </w:rPr>
            </w:pPr>
            <w:r>
              <w:rPr>
                <w:rFonts w:hint="eastAsia" w:ascii="黑体" w:hAnsi="黑体" w:eastAsia="黑体" w:cs="黑体"/>
              </w:rPr>
              <w:t>公开时限</w:t>
            </w:r>
          </w:p>
        </w:tc>
        <w:tc>
          <w:tcPr>
            <w:tcW w:w="1215" w:type="dxa"/>
            <w:vMerge w:val="restart"/>
            <w:vAlign w:val="center"/>
          </w:tcPr>
          <w:p>
            <w:pPr>
              <w:jc w:val="center"/>
              <w:rPr>
                <w:rFonts w:hint="eastAsia" w:ascii="黑体" w:hAnsi="黑体" w:eastAsia="黑体" w:cs="黑体"/>
              </w:rPr>
            </w:pPr>
            <w:r>
              <w:rPr>
                <w:rFonts w:hint="eastAsia" w:ascii="黑体" w:hAnsi="黑体" w:eastAsia="黑体" w:cs="黑体"/>
              </w:rPr>
              <w:t>公开渠道</w:t>
            </w:r>
          </w:p>
          <w:p>
            <w:pPr>
              <w:jc w:val="center"/>
              <w:rPr>
                <w:rFonts w:hint="eastAsia" w:ascii="黑体" w:hAnsi="黑体" w:eastAsia="黑体" w:cs="黑体"/>
              </w:rPr>
            </w:pPr>
            <w:r>
              <w:rPr>
                <w:rFonts w:hint="eastAsia" w:ascii="黑体" w:hAnsi="黑体" w:eastAsia="黑体" w:cs="黑体"/>
              </w:rPr>
              <w:t>和载体</w:t>
            </w:r>
          </w:p>
        </w:tc>
        <w:tc>
          <w:tcPr>
            <w:tcW w:w="1410" w:type="dxa"/>
            <w:gridSpan w:val="2"/>
            <w:vAlign w:val="center"/>
          </w:tcPr>
          <w:p>
            <w:pPr>
              <w:jc w:val="center"/>
              <w:rPr>
                <w:rFonts w:hint="eastAsia" w:ascii="黑体" w:hAnsi="黑体" w:eastAsia="黑体" w:cs="黑体"/>
              </w:rPr>
            </w:pPr>
            <w:r>
              <w:rPr>
                <w:rFonts w:hint="eastAsia" w:ascii="黑体" w:hAnsi="黑体" w:eastAsia="黑体" w:cs="黑体"/>
              </w:rPr>
              <w:t>公开对象</w:t>
            </w:r>
          </w:p>
        </w:tc>
        <w:tc>
          <w:tcPr>
            <w:tcW w:w="1559" w:type="dxa"/>
            <w:gridSpan w:val="2"/>
            <w:vAlign w:val="center"/>
          </w:tcPr>
          <w:p>
            <w:pPr>
              <w:jc w:val="center"/>
              <w:rPr>
                <w:rFonts w:hint="eastAsia" w:ascii="黑体" w:hAnsi="黑体" w:eastAsia="黑体" w:cs="黑体"/>
              </w:rPr>
            </w:pPr>
            <w:r>
              <w:rPr>
                <w:rFonts w:hint="eastAsia" w:ascii="黑体" w:hAnsi="黑体" w:eastAsia="黑体" w:cs="黑体"/>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54" w:type="dxa"/>
            <w:vMerge w:val="continue"/>
            <w:vAlign w:val="center"/>
          </w:tcPr>
          <w:p>
            <w:pPr>
              <w:jc w:val="center"/>
              <w:rPr>
                <w:rFonts w:hint="eastAsia" w:ascii="黑体" w:hAnsi="黑体" w:eastAsia="黑体" w:cs="黑体"/>
              </w:rPr>
            </w:pPr>
          </w:p>
        </w:tc>
        <w:tc>
          <w:tcPr>
            <w:tcW w:w="1242" w:type="dxa"/>
            <w:vAlign w:val="center"/>
          </w:tcPr>
          <w:p>
            <w:pPr>
              <w:jc w:val="center"/>
              <w:rPr>
                <w:rFonts w:hint="eastAsia" w:ascii="黑体" w:hAnsi="黑体" w:eastAsia="黑体" w:cs="黑体"/>
              </w:rPr>
            </w:pPr>
            <w:r>
              <w:rPr>
                <w:rFonts w:hint="eastAsia" w:ascii="黑体" w:hAnsi="黑体" w:eastAsia="黑体" w:cs="黑体"/>
              </w:rPr>
              <w:t>一级事项</w:t>
            </w:r>
          </w:p>
        </w:tc>
        <w:tc>
          <w:tcPr>
            <w:tcW w:w="1382" w:type="dxa"/>
            <w:vAlign w:val="center"/>
          </w:tcPr>
          <w:p>
            <w:pPr>
              <w:jc w:val="center"/>
              <w:rPr>
                <w:rFonts w:hint="eastAsia" w:ascii="黑体" w:hAnsi="黑体" w:eastAsia="黑体" w:cs="黑体"/>
              </w:rPr>
            </w:pPr>
            <w:r>
              <w:rPr>
                <w:rFonts w:hint="eastAsia" w:ascii="黑体" w:hAnsi="黑体" w:eastAsia="黑体" w:cs="黑体"/>
              </w:rPr>
              <w:t>二级事项</w:t>
            </w:r>
          </w:p>
        </w:tc>
        <w:tc>
          <w:tcPr>
            <w:tcW w:w="1583" w:type="dxa"/>
            <w:vMerge w:val="continue"/>
            <w:vAlign w:val="center"/>
          </w:tcPr>
          <w:p>
            <w:pPr>
              <w:jc w:val="center"/>
              <w:rPr>
                <w:rFonts w:hint="eastAsia" w:ascii="黑体" w:hAnsi="黑体" w:eastAsia="黑体" w:cs="黑体"/>
              </w:rPr>
            </w:pPr>
          </w:p>
        </w:tc>
        <w:tc>
          <w:tcPr>
            <w:tcW w:w="1874" w:type="dxa"/>
            <w:vMerge w:val="continue"/>
            <w:vAlign w:val="center"/>
          </w:tcPr>
          <w:p>
            <w:pPr>
              <w:jc w:val="center"/>
              <w:rPr>
                <w:rFonts w:hint="eastAsia" w:ascii="黑体" w:hAnsi="黑体" w:eastAsia="黑体" w:cs="黑体"/>
              </w:rPr>
            </w:pPr>
          </w:p>
        </w:tc>
        <w:tc>
          <w:tcPr>
            <w:tcW w:w="2955" w:type="dxa"/>
            <w:vMerge w:val="continue"/>
            <w:vAlign w:val="center"/>
          </w:tcPr>
          <w:p>
            <w:pPr>
              <w:jc w:val="center"/>
              <w:rPr>
                <w:rFonts w:hint="eastAsia" w:ascii="黑体" w:hAnsi="黑体" w:eastAsia="黑体" w:cs="黑体"/>
              </w:rPr>
            </w:pPr>
          </w:p>
        </w:tc>
        <w:tc>
          <w:tcPr>
            <w:tcW w:w="1215" w:type="dxa"/>
            <w:vMerge w:val="continue"/>
            <w:vAlign w:val="center"/>
          </w:tcPr>
          <w:p>
            <w:pPr>
              <w:jc w:val="center"/>
              <w:rPr>
                <w:rFonts w:hint="eastAsia" w:ascii="黑体" w:hAnsi="黑体" w:eastAsia="黑体" w:cs="黑体"/>
              </w:rPr>
            </w:pPr>
          </w:p>
        </w:tc>
        <w:tc>
          <w:tcPr>
            <w:tcW w:w="645" w:type="dxa"/>
            <w:vAlign w:val="center"/>
          </w:tcPr>
          <w:p>
            <w:pPr>
              <w:jc w:val="center"/>
              <w:rPr>
                <w:rFonts w:hint="eastAsia" w:ascii="黑体" w:hAnsi="黑体" w:eastAsia="黑体" w:cs="黑体"/>
              </w:rPr>
            </w:pPr>
            <w:r>
              <w:rPr>
                <w:rFonts w:hint="eastAsia" w:ascii="黑体" w:hAnsi="黑体" w:eastAsia="黑体" w:cs="黑体"/>
              </w:rPr>
              <w:t>全</w:t>
            </w:r>
          </w:p>
          <w:p>
            <w:pPr>
              <w:jc w:val="center"/>
              <w:rPr>
                <w:rFonts w:hint="eastAsia" w:ascii="黑体" w:hAnsi="黑体" w:eastAsia="黑体" w:cs="黑体"/>
              </w:rPr>
            </w:pPr>
            <w:r>
              <w:rPr>
                <w:rFonts w:hint="eastAsia" w:ascii="黑体" w:hAnsi="黑体" w:eastAsia="黑体" w:cs="黑体"/>
              </w:rPr>
              <w:t>社会</w:t>
            </w:r>
          </w:p>
        </w:tc>
        <w:tc>
          <w:tcPr>
            <w:tcW w:w="765" w:type="dxa"/>
            <w:vAlign w:val="center"/>
          </w:tcPr>
          <w:p>
            <w:pPr>
              <w:jc w:val="center"/>
              <w:rPr>
                <w:rFonts w:hint="eastAsia" w:ascii="黑体" w:hAnsi="黑体" w:eastAsia="黑体" w:cs="黑体"/>
              </w:rPr>
            </w:pPr>
            <w:r>
              <w:rPr>
                <w:rFonts w:hint="eastAsia" w:ascii="黑体" w:hAnsi="黑体" w:eastAsia="黑体" w:cs="黑体"/>
              </w:rPr>
              <w:t>特定对象</w:t>
            </w:r>
          </w:p>
        </w:tc>
        <w:tc>
          <w:tcPr>
            <w:tcW w:w="780" w:type="dxa"/>
            <w:vAlign w:val="center"/>
          </w:tcPr>
          <w:p>
            <w:pPr>
              <w:jc w:val="center"/>
              <w:rPr>
                <w:rFonts w:hint="eastAsia" w:ascii="黑体" w:hAnsi="黑体" w:eastAsia="黑体" w:cs="黑体"/>
              </w:rPr>
            </w:pPr>
            <w:r>
              <w:rPr>
                <w:rFonts w:hint="eastAsia" w:ascii="黑体" w:hAnsi="黑体" w:eastAsia="黑体" w:cs="黑体"/>
              </w:rPr>
              <w:t>主动公开</w:t>
            </w:r>
          </w:p>
        </w:tc>
        <w:tc>
          <w:tcPr>
            <w:tcW w:w="779" w:type="dxa"/>
            <w:vAlign w:val="center"/>
          </w:tcPr>
          <w:p>
            <w:pPr>
              <w:jc w:val="center"/>
              <w:rPr>
                <w:rFonts w:hint="eastAsia" w:ascii="黑体" w:hAnsi="黑体" w:eastAsia="黑体" w:cs="黑体"/>
              </w:rPr>
            </w:pPr>
            <w:r>
              <w:rPr>
                <w:rFonts w:hint="eastAsia" w:ascii="黑体" w:hAnsi="黑体" w:eastAsia="黑体" w:cs="黑体"/>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954"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1</w:t>
            </w:r>
          </w:p>
        </w:tc>
        <w:tc>
          <w:tcPr>
            <w:tcW w:w="1242" w:type="dxa"/>
            <w:vMerge w:val="restart"/>
            <w:vAlign w:val="center"/>
          </w:tcPr>
          <w:p>
            <w:pPr>
              <w:rPr>
                <w:rFonts w:hint="eastAsia" w:ascii="仿宋" w:hAnsi="仿宋" w:eastAsia="仿宋" w:cs="仿宋"/>
                <w:sz w:val="24"/>
                <w:szCs w:val="24"/>
              </w:rPr>
            </w:pPr>
            <w:r>
              <w:rPr>
                <w:rFonts w:hint="eastAsia" w:ascii="仿宋" w:hAnsi="仿宋" w:eastAsia="仿宋" w:cs="仿宋"/>
                <w:sz w:val="24"/>
                <w:szCs w:val="24"/>
              </w:rPr>
              <w:t>机构信息</w:t>
            </w:r>
          </w:p>
        </w:tc>
        <w:tc>
          <w:tcPr>
            <w:tcW w:w="138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基本信息</w:t>
            </w:r>
          </w:p>
        </w:tc>
        <w:tc>
          <w:tcPr>
            <w:tcW w:w="1583" w:type="dxa"/>
            <w:vAlign w:val="center"/>
          </w:tcPr>
          <w:p>
            <w:pPr>
              <w:numPr>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1.机构名称</w:t>
            </w:r>
          </w:p>
          <w:p>
            <w:pPr>
              <w:numPr>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2.联系方式</w:t>
            </w:r>
          </w:p>
          <w:p>
            <w:pPr>
              <w:numPr>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3.办公地址</w:t>
            </w:r>
          </w:p>
          <w:p>
            <w:pPr>
              <w:numPr>
                <w:numId w:val="0"/>
              </w:num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4.办公时间</w:t>
            </w:r>
          </w:p>
        </w:tc>
        <w:tc>
          <w:tcPr>
            <w:tcW w:w="1874" w:type="dxa"/>
            <w:vAlign w:val="center"/>
          </w:tcPr>
          <w:p>
            <w:pPr>
              <w:rPr>
                <w:rFonts w:hint="eastAsia" w:ascii="仿宋" w:hAnsi="仿宋" w:eastAsia="仿宋" w:cs="仿宋"/>
                <w:sz w:val="24"/>
                <w:szCs w:val="24"/>
              </w:rPr>
            </w:pPr>
            <w:r>
              <w:rPr>
                <w:rFonts w:hint="eastAsia" w:ascii="仿宋" w:hAnsi="仿宋" w:eastAsia="仿宋" w:cs="仿宋"/>
                <w:sz w:val="24"/>
                <w:szCs w:val="24"/>
              </w:rPr>
              <w:t>《中华人民共和国政府信息公开条例》</w:t>
            </w:r>
          </w:p>
        </w:tc>
        <w:tc>
          <w:tcPr>
            <w:tcW w:w="2955" w:type="dxa"/>
            <w:vAlign w:val="center"/>
          </w:tcPr>
          <w:p>
            <w:pPr>
              <w:rPr>
                <w:rFonts w:hint="eastAsia" w:ascii="仿宋" w:hAnsi="仿宋" w:eastAsia="仿宋" w:cs="仿宋"/>
                <w:sz w:val="24"/>
                <w:szCs w:val="24"/>
              </w:rPr>
            </w:pPr>
            <w:r>
              <w:rPr>
                <w:rFonts w:hint="eastAsia" w:ascii="仿宋" w:hAnsi="仿宋" w:eastAsia="仿宋" w:cs="仿宋"/>
                <w:sz w:val="24"/>
                <w:szCs w:val="24"/>
              </w:rPr>
              <w:t>信息产生、变更之日起20个工作日内公开，保持长期公开（相关法律法规另有规定的，从其规定）</w:t>
            </w:r>
          </w:p>
        </w:tc>
        <w:tc>
          <w:tcPr>
            <w:tcW w:w="1215" w:type="dxa"/>
            <w:vAlign w:val="center"/>
          </w:tcPr>
          <w:p>
            <w:pPr>
              <w:rPr>
                <w:rFonts w:hint="eastAsia" w:ascii="仿宋" w:hAnsi="仿宋" w:eastAsia="仿宋" w:cs="仿宋"/>
                <w:sz w:val="24"/>
                <w:szCs w:val="24"/>
              </w:rPr>
            </w:pPr>
            <w:r>
              <w:rPr>
                <w:rFonts w:hint="eastAsia" w:ascii="仿宋" w:hAnsi="仿宋" w:eastAsia="仿宋" w:cs="仿宋"/>
                <w:sz w:val="24"/>
                <w:szCs w:val="24"/>
              </w:rPr>
              <w:t>■政府网站</w:t>
            </w:r>
          </w:p>
        </w:tc>
        <w:tc>
          <w:tcPr>
            <w:tcW w:w="6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65" w:type="dxa"/>
            <w:vAlign w:val="center"/>
          </w:tcPr>
          <w:p>
            <w:pPr>
              <w:jc w:val="center"/>
              <w:rPr>
                <w:rFonts w:hint="eastAsia" w:ascii="仿宋" w:hAnsi="仿宋" w:eastAsia="仿宋" w:cs="仿宋"/>
                <w:sz w:val="24"/>
                <w:szCs w:val="24"/>
              </w:rPr>
            </w:pPr>
          </w:p>
        </w:tc>
        <w:tc>
          <w:tcPr>
            <w:tcW w:w="78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79"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954" w:type="dxa"/>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w:t>
            </w:r>
          </w:p>
        </w:tc>
        <w:tc>
          <w:tcPr>
            <w:tcW w:w="1242" w:type="dxa"/>
            <w:vMerge w:val="continue"/>
            <w:tcBorders/>
            <w:vAlign w:val="center"/>
          </w:tcPr>
          <w:p>
            <w:pPr>
              <w:rPr>
                <w:rFonts w:hint="eastAsia" w:ascii="仿宋" w:hAnsi="仿宋" w:eastAsia="仿宋" w:cs="仿宋"/>
                <w:sz w:val="24"/>
                <w:szCs w:val="24"/>
              </w:rPr>
            </w:pPr>
          </w:p>
        </w:tc>
        <w:tc>
          <w:tcPr>
            <w:tcW w:w="138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法定职责</w:t>
            </w:r>
          </w:p>
        </w:tc>
        <w:tc>
          <w:tcPr>
            <w:tcW w:w="1583" w:type="dxa"/>
            <w:vAlign w:val="center"/>
          </w:tcPr>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依据“三定”规定确定的本单位法定职责</w:t>
            </w:r>
          </w:p>
        </w:tc>
        <w:tc>
          <w:tcPr>
            <w:tcW w:w="1874" w:type="dxa"/>
            <w:vAlign w:val="center"/>
          </w:tcPr>
          <w:p>
            <w:pPr>
              <w:rPr>
                <w:rFonts w:hint="eastAsia" w:ascii="仿宋" w:hAnsi="仿宋" w:eastAsia="仿宋" w:cs="仿宋"/>
                <w:sz w:val="24"/>
                <w:szCs w:val="24"/>
              </w:rPr>
            </w:pPr>
            <w:r>
              <w:rPr>
                <w:rFonts w:hint="eastAsia" w:ascii="仿宋" w:hAnsi="仿宋" w:eastAsia="仿宋" w:cs="仿宋"/>
                <w:sz w:val="24"/>
                <w:szCs w:val="24"/>
              </w:rPr>
              <w:t>《中华人民共和国政府信息公开条例》</w:t>
            </w:r>
          </w:p>
        </w:tc>
        <w:tc>
          <w:tcPr>
            <w:tcW w:w="2955" w:type="dxa"/>
            <w:vAlign w:val="center"/>
          </w:tcPr>
          <w:p>
            <w:pPr>
              <w:rPr>
                <w:rFonts w:hint="eastAsia" w:ascii="仿宋" w:hAnsi="仿宋" w:eastAsia="仿宋" w:cs="仿宋"/>
                <w:sz w:val="24"/>
                <w:szCs w:val="24"/>
              </w:rPr>
            </w:pPr>
            <w:r>
              <w:rPr>
                <w:rFonts w:hint="eastAsia" w:ascii="仿宋" w:hAnsi="仿宋" w:eastAsia="仿宋" w:cs="仿宋"/>
                <w:sz w:val="24"/>
                <w:szCs w:val="24"/>
              </w:rPr>
              <w:t>信息产生、变更之日起20个工作日内公开，保持长期公开（相关法律法规另有规定的，从其规定）</w:t>
            </w:r>
          </w:p>
        </w:tc>
        <w:tc>
          <w:tcPr>
            <w:tcW w:w="1215" w:type="dxa"/>
            <w:vAlign w:val="center"/>
          </w:tcPr>
          <w:p>
            <w:pPr>
              <w:rPr>
                <w:rFonts w:hint="eastAsia" w:ascii="仿宋" w:hAnsi="仿宋" w:eastAsia="仿宋" w:cs="仿宋"/>
                <w:sz w:val="24"/>
                <w:szCs w:val="24"/>
              </w:rPr>
            </w:pPr>
            <w:r>
              <w:rPr>
                <w:rFonts w:hint="eastAsia" w:ascii="仿宋" w:hAnsi="仿宋" w:eastAsia="仿宋" w:cs="仿宋"/>
                <w:sz w:val="24"/>
                <w:szCs w:val="24"/>
              </w:rPr>
              <w:t>■政府网站</w:t>
            </w:r>
          </w:p>
        </w:tc>
        <w:tc>
          <w:tcPr>
            <w:tcW w:w="6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65" w:type="dxa"/>
            <w:vAlign w:val="center"/>
          </w:tcPr>
          <w:p>
            <w:pPr>
              <w:jc w:val="center"/>
              <w:rPr>
                <w:rFonts w:hint="eastAsia" w:ascii="仿宋" w:hAnsi="仿宋" w:eastAsia="仿宋" w:cs="仿宋"/>
                <w:sz w:val="24"/>
                <w:szCs w:val="24"/>
              </w:rPr>
            </w:pPr>
          </w:p>
        </w:tc>
        <w:tc>
          <w:tcPr>
            <w:tcW w:w="78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79"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954" w:type="dxa"/>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3</w:t>
            </w:r>
          </w:p>
        </w:tc>
        <w:tc>
          <w:tcPr>
            <w:tcW w:w="1242" w:type="dxa"/>
            <w:vMerge w:val="continue"/>
            <w:tcBorders/>
            <w:vAlign w:val="center"/>
          </w:tcPr>
          <w:p>
            <w:pPr>
              <w:rPr>
                <w:rFonts w:hint="eastAsia" w:ascii="仿宋" w:hAnsi="仿宋" w:eastAsia="仿宋" w:cs="仿宋"/>
                <w:sz w:val="24"/>
                <w:szCs w:val="24"/>
              </w:rPr>
            </w:pPr>
          </w:p>
        </w:tc>
        <w:tc>
          <w:tcPr>
            <w:tcW w:w="138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领导简历</w:t>
            </w:r>
          </w:p>
        </w:tc>
        <w:tc>
          <w:tcPr>
            <w:tcW w:w="1583" w:type="dxa"/>
            <w:vAlign w:val="center"/>
          </w:tcPr>
          <w:p>
            <w:pPr>
              <w:numPr>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1.姓名</w:t>
            </w:r>
          </w:p>
          <w:p>
            <w:pPr>
              <w:numPr>
                <w:numId w:val="0"/>
              </w:num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2.职务</w:t>
            </w:r>
          </w:p>
          <w:p>
            <w:pPr>
              <w:numPr>
                <w:numId w:val="0"/>
              </w:num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3.工作分工</w:t>
            </w:r>
          </w:p>
        </w:tc>
        <w:tc>
          <w:tcPr>
            <w:tcW w:w="1874" w:type="dxa"/>
            <w:vAlign w:val="center"/>
          </w:tcPr>
          <w:p>
            <w:pPr>
              <w:rPr>
                <w:rFonts w:hint="eastAsia" w:ascii="仿宋" w:hAnsi="仿宋" w:eastAsia="仿宋" w:cs="仿宋"/>
                <w:sz w:val="24"/>
                <w:szCs w:val="24"/>
              </w:rPr>
            </w:pPr>
            <w:r>
              <w:rPr>
                <w:rFonts w:hint="eastAsia" w:ascii="仿宋" w:hAnsi="仿宋" w:eastAsia="仿宋" w:cs="仿宋"/>
                <w:sz w:val="24"/>
                <w:szCs w:val="24"/>
              </w:rPr>
              <w:t>《中华人民共和国政府信息公开条例》</w:t>
            </w:r>
          </w:p>
        </w:tc>
        <w:tc>
          <w:tcPr>
            <w:tcW w:w="2955" w:type="dxa"/>
            <w:vAlign w:val="center"/>
          </w:tcPr>
          <w:p>
            <w:pPr>
              <w:rPr>
                <w:rFonts w:hint="eastAsia" w:ascii="仿宋" w:hAnsi="仿宋" w:eastAsia="仿宋" w:cs="仿宋"/>
                <w:sz w:val="24"/>
                <w:szCs w:val="24"/>
              </w:rPr>
            </w:pPr>
            <w:r>
              <w:rPr>
                <w:rFonts w:hint="eastAsia" w:ascii="仿宋" w:hAnsi="仿宋" w:eastAsia="仿宋" w:cs="仿宋"/>
                <w:sz w:val="24"/>
                <w:szCs w:val="24"/>
              </w:rPr>
              <w:t>信息产生、变更之日起20个工作日内公开，保持长期公开（相关法律法规另有规定的，从其规定）</w:t>
            </w:r>
          </w:p>
        </w:tc>
        <w:tc>
          <w:tcPr>
            <w:tcW w:w="1215" w:type="dxa"/>
            <w:vAlign w:val="center"/>
          </w:tcPr>
          <w:p>
            <w:pPr>
              <w:rPr>
                <w:rFonts w:hint="eastAsia" w:ascii="仿宋" w:hAnsi="仿宋" w:eastAsia="仿宋" w:cs="仿宋"/>
                <w:sz w:val="24"/>
                <w:szCs w:val="24"/>
              </w:rPr>
            </w:pPr>
            <w:r>
              <w:rPr>
                <w:rFonts w:hint="eastAsia" w:ascii="仿宋" w:hAnsi="仿宋" w:eastAsia="仿宋" w:cs="仿宋"/>
                <w:sz w:val="24"/>
                <w:szCs w:val="24"/>
              </w:rPr>
              <w:t>■政府网站</w:t>
            </w:r>
          </w:p>
        </w:tc>
        <w:tc>
          <w:tcPr>
            <w:tcW w:w="6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65" w:type="dxa"/>
            <w:vAlign w:val="center"/>
          </w:tcPr>
          <w:p>
            <w:pPr>
              <w:jc w:val="center"/>
              <w:rPr>
                <w:rFonts w:hint="eastAsia" w:ascii="仿宋" w:hAnsi="仿宋" w:eastAsia="仿宋" w:cs="仿宋"/>
                <w:sz w:val="24"/>
                <w:szCs w:val="24"/>
              </w:rPr>
            </w:pPr>
          </w:p>
        </w:tc>
        <w:tc>
          <w:tcPr>
            <w:tcW w:w="78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79"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54" w:type="dxa"/>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4</w:t>
            </w:r>
          </w:p>
        </w:tc>
        <w:tc>
          <w:tcPr>
            <w:tcW w:w="1242" w:type="dxa"/>
            <w:vMerge w:val="continue"/>
            <w:tcBorders/>
            <w:vAlign w:val="center"/>
          </w:tcPr>
          <w:p>
            <w:pPr>
              <w:rPr>
                <w:rFonts w:hint="eastAsia" w:ascii="仿宋" w:hAnsi="仿宋" w:eastAsia="仿宋" w:cs="仿宋"/>
                <w:sz w:val="24"/>
                <w:szCs w:val="24"/>
              </w:rPr>
            </w:pPr>
          </w:p>
        </w:tc>
        <w:tc>
          <w:tcPr>
            <w:tcW w:w="138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内设机构</w:t>
            </w:r>
          </w:p>
        </w:tc>
        <w:tc>
          <w:tcPr>
            <w:tcW w:w="1583" w:type="dxa"/>
            <w:vAlign w:val="center"/>
          </w:tcPr>
          <w:p>
            <w:pPr>
              <w:numPr>
                <w:ilvl w:val="0"/>
                <w:numId w:val="0"/>
              </w:num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1.机构名称</w:t>
            </w:r>
          </w:p>
          <w:p>
            <w:pPr>
              <w:numPr>
                <w:ilvl w:val="0"/>
                <w:numId w:val="0"/>
              </w:num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2.负责人信息</w:t>
            </w:r>
          </w:p>
          <w:p>
            <w:pPr>
              <w:numPr>
                <w:numId w:val="0"/>
              </w:num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3.主要职责</w:t>
            </w:r>
          </w:p>
        </w:tc>
        <w:tc>
          <w:tcPr>
            <w:tcW w:w="1874" w:type="dxa"/>
            <w:vAlign w:val="center"/>
          </w:tcPr>
          <w:p>
            <w:pPr>
              <w:rPr>
                <w:rFonts w:hint="eastAsia" w:ascii="仿宋" w:hAnsi="仿宋" w:eastAsia="仿宋" w:cs="仿宋"/>
                <w:sz w:val="24"/>
                <w:szCs w:val="24"/>
              </w:rPr>
            </w:pPr>
            <w:r>
              <w:rPr>
                <w:rFonts w:hint="eastAsia" w:ascii="仿宋" w:hAnsi="仿宋" w:eastAsia="仿宋" w:cs="仿宋"/>
                <w:sz w:val="24"/>
                <w:szCs w:val="24"/>
              </w:rPr>
              <w:t>《中华人民共和国政府信息公开条例》</w:t>
            </w:r>
          </w:p>
        </w:tc>
        <w:tc>
          <w:tcPr>
            <w:tcW w:w="2955" w:type="dxa"/>
            <w:vAlign w:val="center"/>
          </w:tcPr>
          <w:p>
            <w:pPr>
              <w:rPr>
                <w:rFonts w:hint="eastAsia" w:ascii="仿宋" w:hAnsi="仿宋" w:eastAsia="仿宋" w:cs="仿宋"/>
                <w:sz w:val="24"/>
                <w:szCs w:val="24"/>
              </w:rPr>
            </w:pPr>
            <w:r>
              <w:rPr>
                <w:rFonts w:hint="eastAsia" w:ascii="仿宋" w:hAnsi="仿宋" w:eastAsia="仿宋" w:cs="仿宋"/>
                <w:sz w:val="24"/>
                <w:szCs w:val="24"/>
              </w:rPr>
              <w:t>信息产生、变更之日起20个工作日内公开，保持长期公开（相关法律法规另有规定的，从其规定）</w:t>
            </w:r>
          </w:p>
        </w:tc>
        <w:tc>
          <w:tcPr>
            <w:tcW w:w="1215" w:type="dxa"/>
            <w:vAlign w:val="center"/>
          </w:tcPr>
          <w:p>
            <w:pPr>
              <w:rPr>
                <w:rFonts w:hint="eastAsia" w:ascii="仿宋" w:hAnsi="仿宋" w:eastAsia="仿宋" w:cs="仿宋"/>
                <w:sz w:val="24"/>
                <w:szCs w:val="24"/>
              </w:rPr>
            </w:pPr>
            <w:r>
              <w:rPr>
                <w:rFonts w:hint="eastAsia" w:ascii="仿宋" w:hAnsi="仿宋" w:eastAsia="仿宋" w:cs="仿宋"/>
                <w:sz w:val="24"/>
                <w:szCs w:val="24"/>
              </w:rPr>
              <w:t>■政府网站</w:t>
            </w:r>
          </w:p>
        </w:tc>
        <w:tc>
          <w:tcPr>
            <w:tcW w:w="6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65" w:type="dxa"/>
            <w:vAlign w:val="center"/>
          </w:tcPr>
          <w:p>
            <w:pPr>
              <w:jc w:val="center"/>
              <w:rPr>
                <w:rFonts w:hint="eastAsia" w:ascii="仿宋" w:hAnsi="仿宋" w:eastAsia="仿宋" w:cs="仿宋"/>
                <w:sz w:val="24"/>
                <w:szCs w:val="24"/>
              </w:rPr>
            </w:pPr>
          </w:p>
        </w:tc>
        <w:tc>
          <w:tcPr>
            <w:tcW w:w="78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79"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954" w:type="dxa"/>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5</w:t>
            </w:r>
          </w:p>
        </w:tc>
        <w:tc>
          <w:tcPr>
            <w:tcW w:w="1242" w:type="dxa"/>
            <w:vMerge w:val="continue"/>
            <w:tcBorders/>
            <w:vAlign w:val="center"/>
          </w:tcPr>
          <w:p>
            <w:pPr>
              <w:rPr>
                <w:rFonts w:hint="eastAsia" w:ascii="仿宋" w:hAnsi="仿宋" w:eastAsia="仿宋" w:cs="仿宋"/>
                <w:sz w:val="24"/>
                <w:szCs w:val="24"/>
              </w:rPr>
            </w:pPr>
          </w:p>
        </w:tc>
        <w:tc>
          <w:tcPr>
            <w:tcW w:w="1382" w:type="dxa"/>
            <w:vAlign w:val="center"/>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下属单位</w:t>
            </w:r>
          </w:p>
        </w:tc>
        <w:tc>
          <w:tcPr>
            <w:tcW w:w="1583" w:type="dxa"/>
            <w:vAlign w:val="center"/>
          </w:tcPr>
          <w:p>
            <w:pPr>
              <w:numPr>
                <w:ilvl w:val="0"/>
                <w:numId w:val="0"/>
              </w:num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1.单位名称</w:t>
            </w:r>
          </w:p>
          <w:p>
            <w:pPr>
              <w:numPr>
                <w:ilvl w:val="0"/>
                <w:numId w:val="0"/>
              </w:num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2.负责人信息</w:t>
            </w:r>
          </w:p>
          <w:p>
            <w:pPr>
              <w:rPr>
                <w:rFonts w:hint="eastAsia" w:ascii="仿宋" w:hAnsi="仿宋" w:eastAsia="仿宋" w:cs="仿宋"/>
                <w:sz w:val="24"/>
                <w:szCs w:val="24"/>
              </w:rPr>
            </w:pPr>
            <w:r>
              <w:rPr>
                <w:rFonts w:hint="eastAsia" w:ascii="仿宋" w:hAnsi="仿宋" w:eastAsia="仿宋" w:cs="仿宋"/>
                <w:sz w:val="24"/>
                <w:szCs w:val="24"/>
                <w:lang w:val="en-US" w:eastAsia="zh-CN"/>
              </w:rPr>
              <w:t>3.主要职责</w:t>
            </w:r>
          </w:p>
        </w:tc>
        <w:tc>
          <w:tcPr>
            <w:tcW w:w="1874" w:type="dxa"/>
            <w:vAlign w:val="center"/>
          </w:tcPr>
          <w:p>
            <w:pPr>
              <w:rPr>
                <w:rFonts w:hint="eastAsia" w:ascii="仿宋" w:hAnsi="仿宋" w:eastAsia="仿宋" w:cs="仿宋"/>
                <w:sz w:val="24"/>
                <w:szCs w:val="24"/>
              </w:rPr>
            </w:pPr>
            <w:r>
              <w:rPr>
                <w:rFonts w:hint="eastAsia" w:ascii="仿宋" w:hAnsi="仿宋" w:eastAsia="仿宋" w:cs="仿宋"/>
                <w:sz w:val="24"/>
                <w:szCs w:val="24"/>
              </w:rPr>
              <w:t>《中华人民共和国政府信息公开条例》</w:t>
            </w:r>
          </w:p>
        </w:tc>
        <w:tc>
          <w:tcPr>
            <w:tcW w:w="2955" w:type="dxa"/>
            <w:vAlign w:val="center"/>
          </w:tcPr>
          <w:p>
            <w:pPr>
              <w:rPr>
                <w:rFonts w:hint="eastAsia" w:ascii="仿宋" w:hAnsi="仿宋" w:eastAsia="仿宋" w:cs="仿宋"/>
                <w:sz w:val="24"/>
                <w:szCs w:val="24"/>
              </w:rPr>
            </w:pPr>
            <w:r>
              <w:rPr>
                <w:rFonts w:hint="eastAsia" w:ascii="仿宋" w:hAnsi="仿宋" w:eastAsia="仿宋" w:cs="仿宋"/>
                <w:sz w:val="24"/>
                <w:szCs w:val="24"/>
              </w:rPr>
              <w:t>信息产生、变更之日起20个工作日内公开，保持长期公开（相关法律法规另有规定的，从其规定）</w:t>
            </w:r>
          </w:p>
        </w:tc>
        <w:tc>
          <w:tcPr>
            <w:tcW w:w="1215" w:type="dxa"/>
            <w:vAlign w:val="center"/>
          </w:tcPr>
          <w:p>
            <w:pPr>
              <w:rPr>
                <w:rFonts w:hint="eastAsia" w:ascii="仿宋" w:hAnsi="仿宋" w:eastAsia="仿宋" w:cs="仿宋"/>
                <w:sz w:val="24"/>
                <w:szCs w:val="24"/>
              </w:rPr>
            </w:pPr>
            <w:r>
              <w:rPr>
                <w:rFonts w:hint="eastAsia" w:ascii="仿宋" w:hAnsi="仿宋" w:eastAsia="仿宋" w:cs="仿宋"/>
                <w:sz w:val="24"/>
                <w:szCs w:val="24"/>
              </w:rPr>
              <w:t>■政府网站</w:t>
            </w:r>
          </w:p>
        </w:tc>
        <w:tc>
          <w:tcPr>
            <w:tcW w:w="6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65" w:type="dxa"/>
            <w:vAlign w:val="center"/>
          </w:tcPr>
          <w:p>
            <w:pPr>
              <w:jc w:val="center"/>
              <w:rPr>
                <w:rFonts w:hint="eastAsia" w:ascii="仿宋" w:hAnsi="仿宋" w:eastAsia="仿宋" w:cs="仿宋"/>
                <w:sz w:val="24"/>
                <w:szCs w:val="24"/>
              </w:rPr>
            </w:pPr>
          </w:p>
        </w:tc>
        <w:tc>
          <w:tcPr>
            <w:tcW w:w="78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79"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5" w:hRule="atLeast"/>
          <w:jc w:val="center"/>
        </w:trPr>
        <w:tc>
          <w:tcPr>
            <w:tcW w:w="954" w:type="dxa"/>
            <w:vAlign w:val="center"/>
          </w:tcPr>
          <w:p>
            <w:pPr>
              <w:jc w:val="cente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6</w:t>
            </w:r>
          </w:p>
        </w:tc>
        <w:tc>
          <w:tcPr>
            <w:tcW w:w="1242" w:type="dxa"/>
            <w:vAlign w:val="center"/>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信息公开</w:t>
            </w:r>
          </w:p>
        </w:tc>
        <w:tc>
          <w:tcPr>
            <w:tcW w:w="1382" w:type="dxa"/>
            <w:vAlign w:val="center"/>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政府信息公开专栏</w:t>
            </w:r>
          </w:p>
        </w:tc>
        <w:tc>
          <w:tcPr>
            <w:tcW w:w="1583" w:type="dxa"/>
            <w:vAlign w:val="center"/>
          </w:tcPr>
          <w:p>
            <w:pPr>
              <w:numPr>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1.信息公开指南</w:t>
            </w:r>
          </w:p>
          <w:p>
            <w:pPr>
              <w:numPr>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2.信息公开制度</w:t>
            </w:r>
          </w:p>
          <w:p>
            <w:pPr>
              <w:numPr>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3.法定主动公开内容</w:t>
            </w:r>
          </w:p>
          <w:p>
            <w:pPr>
              <w:numPr>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4.信息公开年报</w:t>
            </w:r>
          </w:p>
          <w:p>
            <w:pPr>
              <w:numPr>
                <w:numId w:val="0"/>
              </w:num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5.政务公开事项清单</w:t>
            </w:r>
          </w:p>
        </w:tc>
        <w:tc>
          <w:tcPr>
            <w:tcW w:w="1874" w:type="dxa"/>
            <w:vAlign w:val="center"/>
          </w:tcPr>
          <w:p>
            <w:pPr>
              <w:rPr>
                <w:rFonts w:hint="eastAsia" w:ascii="仿宋" w:hAnsi="仿宋" w:eastAsia="仿宋" w:cs="仿宋"/>
                <w:sz w:val="24"/>
                <w:szCs w:val="24"/>
              </w:rPr>
            </w:pPr>
            <w:r>
              <w:rPr>
                <w:rFonts w:hint="eastAsia" w:ascii="仿宋" w:hAnsi="仿宋" w:eastAsia="仿宋" w:cs="仿宋"/>
                <w:sz w:val="24"/>
                <w:szCs w:val="24"/>
              </w:rPr>
              <w:t>《中华人民共和国政府信息公开条例》</w:t>
            </w:r>
          </w:p>
        </w:tc>
        <w:tc>
          <w:tcPr>
            <w:tcW w:w="2955" w:type="dxa"/>
            <w:vAlign w:val="center"/>
          </w:tcPr>
          <w:p>
            <w:pPr>
              <w:rPr>
                <w:rFonts w:hint="eastAsia" w:ascii="仿宋" w:hAnsi="仿宋" w:eastAsia="仿宋" w:cs="仿宋"/>
                <w:sz w:val="24"/>
                <w:szCs w:val="24"/>
              </w:rPr>
            </w:pPr>
            <w:r>
              <w:rPr>
                <w:rFonts w:hint="eastAsia" w:ascii="仿宋" w:hAnsi="仿宋" w:eastAsia="仿宋" w:cs="仿宋"/>
                <w:sz w:val="24"/>
                <w:szCs w:val="24"/>
              </w:rPr>
              <w:t>信息产生、变更之日起20个工作日内公开，保持长期公开（相关法律法规另有规定的，从其规定）</w:t>
            </w:r>
          </w:p>
        </w:tc>
        <w:tc>
          <w:tcPr>
            <w:tcW w:w="1215" w:type="dxa"/>
            <w:vAlign w:val="center"/>
          </w:tcPr>
          <w:p>
            <w:pPr>
              <w:rPr>
                <w:rFonts w:hint="eastAsia" w:ascii="仿宋" w:hAnsi="仿宋" w:eastAsia="仿宋" w:cs="仿宋"/>
                <w:sz w:val="24"/>
                <w:szCs w:val="24"/>
              </w:rPr>
            </w:pPr>
            <w:r>
              <w:rPr>
                <w:rFonts w:hint="eastAsia" w:ascii="仿宋" w:hAnsi="仿宋" w:eastAsia="仿宋" w:cs="仿宋"/>
                <w:sz w:val="24"/>
                <w:szCs w:val="24"/>
              </w:rPr>
              <w:t>■政府网站</w:t>
            </w:r>
          </w:p>
        </w:tc>
        <w:tc>
          <w:tcPr>
            <w:tcW w:w="6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65" w:type="dxa"/>
            <w:vAlign w:val="center"/>
          </w:tcPr>
          <w:p>
            <w:pPr>
              <w:jc w:val="center"/>
              <w:rPr>
                <w:rFonts w:hint="eastAsia" w:ascii="仿宋" w:hAnsi="仿宋" w:eastAsia="仿宋" w:cs="仿宋"/>
                <w:sz w:val="24"/>
                <w:szCs w:val="24"/>
              </w:rPr>
            </w:pPr>
          </w:p>
        </w:tc>
        <w:tc>
          <w:tcPr>
            <w:tcW w:w="78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79"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5" w:hRule="atLeast"/>
          <w:jc w:val="center"/>
        </w:trPr>
        <w:tc>
          <w:tcPr>
            <w:tcW w:w="954" w:type="dxa"/>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7</w:t>
            </w:r>
          </w:p>
        </w:tc>
        <w:tc>
          <w:tcPr>
            <w:tcW w:w="1242" w:type="dxa"/>
            <w:vMerge w:val="restart"/>
            <w:vAlign w:val="center"/>
          </w:tcPr>
          <w:p>
            <w:pPr>
              <w:rPr>
                <w:rFonts w:hint="eastAsia" w:ascii="仿宋" w:hAnsi="仿宋" w:eastAsia="仿宋" w:cs="仿宋"/>
                <w:sz w:val="24"/>
                <w:szCs w:val="24"/>
              </w:rPr>
            </w:pPr>
            <w:r>
              <w:rPr>
                <w:rFonts w:hint="eastAsia" w:ascii="仿宋" w:hAnsi="仿宋" w:eastAsia="仿宋" w:cs="仿宋"/>
                <w:sz w:val="24"/>
                <w:szCs w:val="24"/>
              </w:rPr>
              <w:t>政策文件</w:t>
            </w:r>
          </w:p>
        </w:tc>
        <w:tc>
          <w:tcPr>
            <w:tcW w:w="1382" w:type="dxa"/>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退役军人相关政策文件</w:t>
            </w:r>
          </w:p>
        </w:tc>
        <w:tc>
          <w:tcPr>
            <w:tcW w:w="1583"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上级退役军人相关政策文件</w:t>
            </w:r>
          </w:p>
        </w:tc>
        <w:tc>
          <w:tcPr>
            <w:tcW w:w="1874" w:type="dxa"/>
            <w:vAlign w:val="center"/>
          </w:tcPr>
          <w:p>
            <w:pPr>
              <w:rPr>
                <w:rFonts w:hint="eastAsia" w:ascii="仿宋" w:hAnsi="仿宋" w:eastAsia="仿宋" w:cs="仿宋"/>
                <w:sz w:val="24"/>
                <w:szCs w:val="24"/>
              </w:rPr>
            </w:pPr>
            <w:r>
              <w:rPr>
                <w:rFonts w:hint="eastAsia" w:ascii="仿宋" w:hAnsi="仿宋" w:eastAsia="仿宋" w:cs="仿宋"/>
                <w:sz w:val="24"/>
                <w:szCs w:val="24"/>
              </w:rPr>
              <w:t>《中华人民共和国政府信息公开条例》</w:t>
            </w:r>
          </w:p>
        </w:tc>
        <w:tc>
          <w:tcPr>
            <w:tcW w:w="2955" w:type="dxa"/>
            <w:vAlign w:val="center"/>
          </w:tcPr>
          <w:p>
            <w:pPr>
              <w:rPr>
                <w:rFonts w:hint="eastAsia" w:ascii="仿宋" w:hAnsi="仿宋" w:eastAsia="仿宋" w:cs="仿宋"/>
                <w:sz w:val="24"/>
                <w:szCs w:val="24"/>
              </w:rPr>
            </w:pPr>
            <w:r>
              <w:rPr>
                <w:rFonts w:hint="eastAsia" w:ascii="仿宋" w:hAnsi="仿宋" w:eastAsia="仿宋" w:cs="仿宋"/>
                <w:sz w:val="24"/>
                <w:szCs w:val="24"/>
              </w:rPr>
              <w:t>信息产生、变更之日起20个工作日内公开，保持长期公开（相关法律法规另有规定的，从其规定）</w:t>
            </w:r>
          </w:p>
        </w:tc>
        <w:tc>
          <w:tcPr>
            <w:tcW w:w="1215" w:type="dxa"/>
            <w:vAlign w:val="center"/>
          </w:tcPr>
          <w:p>
            <w:pPr>
              <w:rPr>
                <w:rFonts w:hint="eastAsia" w:ascii="仿宋" w:hAnsi="仿宋" w:eastAsia="仿宋" w:cs="仿宋"/>
                <w:sz w:val="24"/>
                <w:szCs w:val="24"/>
              </w:rPr>
            </w:pPr>
            <w:r>
              <w:rPr>
                <w:rFonts w:hint="eastAsia" w:ascii="仿宋" w:hAnsi="仿宋" w:eastAsia="仿宋" w:cs="仿宋"/>
                <w:sz w:val="24"/>
                <w:szCs w:val="24"/>
              </w:rPr>
              <w:t>■政府网站</w:t>
            </w:r>
          </w:p>
        </w:tc>
        <w:tc>
          <w:tcPr>
            <w:tcW w:w="6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65" w:type="dxa"/>
            <w:vAlign w:val="center"/>
          </w:tcPr>
          <w:p>
            <w:pPr>
              <w:jc w:val="center"/>
              <w:rPr>
                <w:rFonts w:hint="eastAsia" w:ascii="仿宋" w:hAnsi="仿宋" w:eastAsia="仿宋" w:cs="仿宋"/>
                <w:sz w:val="24"/>
                <w:szCs w:val="24"/>
              </w:rPr>
            </w:pPr>
          </w:p>
        </w:tc>
        <w:tc>
          <w:tcPr>
            <w:tcW w:w="78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79"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954" w:type="dxa"/>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8</w:t>
            </w:r>
          </w:p>
        </w:tc>
        <w:tc>
          <w:tcPr>
            <w:tcW w:w="1242" w:type="dxa"/>
            <w:vMerge w:val="continue"/>
            <w:vAlign w:val="center"/>
          </w:tcPr>
          <w:p>
            <w:pPr>
              <w:rPr>
                <w:rFonts w:hint="eastAsia" w:ascii="仿宋" w:hAnsi="仿宋" w:eastAsia="仿宋" w:cs="仿宋"/>
                <w:sz w:val="24"/>
                <w:szCs w:val="24"/>
              </w:rPr>
            </w:pPr>
          </w:p>
        </w:tc>
        <w:tc>
          <w:tcPr>
            <w:tcW w:w="1382"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政策文件</w:t>
            </w:r>
          </w:p>
        </w:tc>
        <w:tc>
          <w:tcPr>
            <w:tcW w:w="1583" w:type="dxa"/>
            <w:vAlign w:val="center"/>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县退役军人事务局公开发布的政策文件</w:t>
            </w:r>
          </w:p>
        </w:tc>
        <w:tc>
          <w:tcPr>
            <w:tcW w:w="1874" w:type="dxa"/>
            <w:vAlign w:val="center"/>
          </w:tcPr>
          <w:p>
            <w:pPr>
              <w:rPr>
                <w:rFonts w:hint="eastAsia" w:ascii="仿宋" w:hAnsi="仿宋" w:eastAsia="仿宋" w:cs="仿宋"/>
                <w:sz w:val="24"/>
                <w:szCs w:val="24"/>
              </w:rPr>
            </w:pPr>
            <w:r>
              <w:rPr>
                <w:rFonts w:hint="eastAsia" w:ascii="仿宋" w:hAnsi="仿宋" w:eastAsia="仿宋" w:cs="仿宋"/>
                <w:sz w:val="24"/>
                <w:szCs w:val="24"/>
              </w:rPr>
              <w:t>《中华人民共和国政府信息公开条例》</w:t>
            </w:r>
          </w:p>
        </w:tc>
        <w:tc>
          <w:tcPr>
            <w:tcW w:w="2955" w:type="dxa"/>
            <w:vAlign w:val="center"/>
          </w:tcPr>
          <w:p>
            <w:pPr>
              <w:rPr>
                <w:rFonts w:hint="eastAsia" w:ascii="仿宋" w:hAnsi="仿宋" w:eastAsia="仿宋" w:cs="仿宋"/>
                <w:sz w:val="24"/>
                <w:szCs w:val="24"/>
              </w:rPr>
            </w:pPr>
            <w:r>
              <w:rPr>
                <w:rFonts w:hint="eastAsia" w:ascii="仿宋" w:hAnsi="仿宋" w:eastAsia="仿宋" w:cs="仿宋"/>
                <w:sz w:val="24"/>
                <w:szCs w:val="24"/>
              </w:rPr>
              <w:t>信息产生、变更之日起20个工作日内公开，保持长期公开（相关法律法规另有规定的，从其规定）</w:t>
            </w:r>
          </w:p>
        </w:tc>
        <w:tc>
          <w:tcPr>
            <w:tcW w:w="1215" w:type="dxa"/>
            <w:vAlign w:val="center"/>
          </w:tcPr>
          <w:p>
            <w:pPr>
              <w:rPr>
                <w:rFonts w:hint="eastAsia" w:ascii="仿宋" w:hAnsi="仿宋" w:eastAsia="仿宋" w:cs="仿宋"/>
                <w:sz w:val="24"/>
                <w:szCs w:val="24"/>
              </w:rPr>
            </w:pPr>
            <w:r>
              <w:rPr>
                <w:rFonts w:hint="eastAsia" w:ascii="仿宋" w:hAnsi="仿宋" w:eastAsia="仿宋" w:cs="仿宋"/>
                <w:sz w:val="24"/>
                <w:szCs w:val="24"/>
              </w:rPr>
              <w:t>■政府网站</w:t>
            </w:r>
          </w:p>
        </w:tc>
        <w:tc>
          <w:tcPr>
            <w:tcW w:w="6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65" w:type="dxa"/>
            <w:vAlign w:val="center"/>
          </w:tcPr>
          <w:p>
            <w:pPr>
              <w:jc w:val="center"/>
              <w:rPr>
                <w:rFonts w:hint="eastAsia" w:ascii="仿宋" w:hAnsi="仿宋" w:eastAsia="仿宋" w:cs="仿宋"/>
                <w:sz w:val="24"/>
                <w:szCs w:val="24"/>
              </w:rPr>
            </w:pPr>
          </w:p>
        </w:tc>
        <w:tc>
          <w:tcPr>
            <w:tcW w:w="78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79"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954" w:type="dxa"/>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9</w:t>
            </w:r>
          </w:p>
        </w:tc>
        <w:tc>
          <w:tcPr>
            <w:tcW w:w="1242" w:type="dxa"/>
            <w:vMerge w:val="restart"/>
            <w:vAlign w:val="center"/>
          </w:tcPr>
          <w:p>
            <w:pPr>
              <w:rPr>
                <w:rFonts w:hint="eastAsia" w:ascii="仿宋" w:hAnsi="仿宋" w:eastAsia="仿宋" w:cs="仿宋"/>
                <w:sz w:val="24"/>
                <w:szCs w:val="24"/>
              </w:rPr>
            </w:pPr>
            <w:r>
              <w:rPr>
                <w:rFonts w:hint="eastAsia" w:ascii="仿宋" w:hAnsi="仿宋" w:eastAsia="仿宋" w:cs="仿宋"/>
                <w:sz w:val="24"/>
                <w:szCs w:val="24"/>
              </w:rPr>
              <w:t>重点领域信息</w:t>
            </w:r>
          </w:p>
        </w:tc>
        <w:tc>
          <w:tcPr>
            <w:tcW w:w="1382" w:type="dxa"/>
            <w:vAlign w:val="center"/>
          </w:tcPr>
          <w:p>
            <w:pPr>
              <w:rPr>
                <w:rFonts w:hint="eastAsia" w:ascii="仿宋" w:hAnsi="仿宋" w:eastAsia="仿宋" w:cs="仿宋"/>
                <w:sz w:val="24"/>
                <w:szCs w:val="24"/>
              </w:rPr>
            </w:pPr>
            <w:r>
              <w:rPr>
                <w:rFonts w:hint="eastAsia" w:ascii="仿宋" w:hAnsi="仿宋" w:eastAsia="仿宋" w:cs="仿宋"/>
                <w:sz w:val="24"/>
                <w:szCs w:val="24"/>
              </w:rPr>
              <w:t>权责清单</w:t>
            </w:r>
          </w:p>
        </w:tc>
        <w:tc>
          <w:tcPr>
            <w:tcW w:w="1583" w:type="dxa"/>
            <w:vAlign w:val="center"/>
          </w:tcPr>
          <w:p>
            <w:pPr>
              <w:rPr>
                <w:rFonts w:hint="eastAsia" w:ascii="仿宋" w:hAnsi="仿宋" w:eastAsia="仿宋" w:cs="仿宋"/>
                <w:sz w:val="24"/>
                <w:szCs w:val="24"/>
              </w:rPr>
            </w:pPr>
            <w:r>
              <w:rPr>
                <w:rFonts w:hint="eastAsia" w:ascii="仿宋" w:hAnsi="仿宋" w:eastAsia="仿宋" w:cs="仿宋"/>
                <w:sz w:val="24"/>
                <w:szCs w:val="24"/>
              </w:rPr>
              <w:t>经相关部门核定的责任清单</w:t>
            </w:r>
          </w:p>
        </w:tc>
        <w:tc>
          <w:tcPr>
            <w:tcW w:w="1874" w:type="dxa"/>
            <w:vAlign w:val="center"/>
          </w:tcPr>
          <w:p>
            <w:pPr>
              <w:rPr>
                <w:rFonts w:hint="eastAsia" w:ascii="仿宋" w:hAnsi="仿宋" w:eastAsia="仿宋" w:cs="仿宋"/>
                <w:sz w:val="24"/>
                <w:szCs w:val="24"/>
              </w:rPr>
            </w:pPr>
            <w:r>
              <w:rPr>
                <w:rFonts w:hint="eastAsia" w:ascii="仿宋" w:hAnsi="仿宋" w:eastAsia="仿宋" w:cs="仿宋"/>
                <w:sz w:val="24"/>
                <w:szCs w:val="24"/>
              </w:rPr>
              <w:t>《中华人民共和国政府信息公开条例》</w:t>
            </w:r>
          </w:p>
        </w:tc>
        <w:tc>
          <w:tcPr>
            <w:tcW w:w="2955" w:type="dxa"/>
            <w:vAlign w:val="center"/>
          </w:tcPr>
          <w:p>
            <w:pPr>
              <w:rPr>
                <w:rFonts w:hint="eastAsia" w:ascii="仿宋" w:hAnsi="仿宋" w:eastAsia="仿宋" w:cs="仿宋"/>
                <w:sz w:val="24"/>
                <w:szCs w:val="24"/>
              </w:rPr>
            </w:pPr>
            <w:r>
              <w:rPr>
                <w:rFonts w:hint="eastAsia" w:ascii="仿宋" w:hAnsi="仿宋" w:eastAsia="仿宋" w:cs="仿宋"/>
                <w:sz w:val="24"/>
                <w:szCs w:val="24"/>
              </w:rPr>
              <w:t>信息产生、变更之日起20个工作日内公开，保持长期公开（相关法律法规另有规定的，从其规定）</w:t>
            </w:r>
          </w:p>
        </w:tc>
        <w:tc>
          <w:tcPr>
            <w:tcW w:w="1215" w:type="dxa"/>
            <w:vAlign w:val="center"/>
          </w:tcPr>
          <w:p>
            <w:pPr>
              <w:rPr>
                <w:rFonts w:hint="eastAsia" w:ascii="仿宋" w:hAnsi="仿宋" w:eastAsia="仿宋" w:cs="仿宋"/>
                <w:sz w:val="24"/>
                <w:szCs w:val="24"/>
              </w:rPr>
            </w:pPr>
            <w:r>
              <w:rPr>
                <w:rFonts w:hint="eastAsia" w:ascii="仿宋" w:hAnsi="仿宋" w:eastAsia="仿宋" w:cs="仿宋"/>
                <w:sz w:val="24"/>
                <w:szCs w:val="24"/>
              </w:rPr>
              <w:t>■政府网站</w:t>
            </w:r>
          </w:p>
        </w:tc>
        <w:tc>
          <w:tcPr>
            <w:tcW w:w="6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65" w:type="dxa"/>
            <w:vAlign w:val="center"/>
          </w:tcPr>
          <w:p>
            <w:pPr>
              <w:jc w:val="center"/>
              <w:rPr>
                <w:rFonts w:hint="eastAsia" w:ascii="仿宋" w:hAnsi="仿宋" w:eastAsia="仿宋" w:cs="仿宋"/>
                <w:sz w:val="24"/>
                <w:szCs w:val="24"/>
              </w:rPr>
            </w:pPr>
          </w:p>
        </w:tc>
        <w:tc>
          <w:tcPr>
            <w:tcW w:w="78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79"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954" w:type="dxa"/>
            <w:vAlign w:val="center"/>
          </w:tcPr>
          <w:p>
            <w:pPr>
              <w:jc w:val="cente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10</w:t>
            </w:r>
          </w:p>
        </w:tc>
        <w:tc>
          <w:tcPr>
            <w:tcW w:w="1242" w:type="dxa"/>
            <w:vMerge w:val="continue"/>
            <w:vAlign w:val="center"/>
          </w:tcPr>
          <w:p>
            <w:pPr>
              <w:rPr>
                <w:rFonts w:hint="eastAsia" w:ascii="仿宋" w:hAnsi="仿宋" w:eastAsia="仿宋" w:cs="仿宋"/>
                <w:sz w:val="24"/>
                <w:szCs w:val="24"/>
              </w:rPr>
            </w:pPr>
          </w:p>
        </w:tc>
        <w:tc>
          <w:tcPr>
            <w:tcW w:w="1382" w:type="dxa"/>
            <w:vAlign w:val="center"/>
          </w:tcPr>
          <w:p>
            <w:pPr>
              <w:rPr>
                <w:rFonts w:hint="eastAsia" w:ascii="仿宋" w:hAnsi="仿宋" w:eastAsia="仿宋" w:cs="仿宋"/>
                <w:sz w:val="24"/>
                <w:szCs w:val="24"/>
              </w:rPr>
            </w:pPr>
            <w:r>
              <w:rPr>
                <w:rFonts w:hint="eastAsia" w:ascii="仿宋" w:hAnsi="仿宋" w:eastAsia="仿宋" w:cs="仿宋"/>
                <w:sz w:val="24"/>
                <w:szCs w:val="24"/>
              </w:rPr>
              <w:t>规划计划</w:t>
            </w:r>
          </w:p>
        </w:tc>
        <w:tc>
          <w:tcPr>
            <w:tcW w:w="1583" w:type="dxa"/>
            <w:vAlign w:val="center"/>
          </w:tcPr>
          <w:p>
            <w:pPr>
              <w:rPr>
                <w:rFonts w:hint="eastAsia" w:ascii="仿宋" w:hAnsi="仿宋" w:eastAsia="仿宋" w:cs="仿宋"/>
                <w:sz w:val="24"/>
                <w:szCs w:val="24"/>
              </w:rPr>
            </w:pPr>
            <w:r>
              <w:rPr>
                <w:rFonts w:hint="eastAsia" w:ascii="仿宋" w:hAnsi="仿宋" w:eastAsia="仿宋" w:cs="仿宋"/>
                <w:sz w:val="24"/>
                <w:szCs w:val="24"/>
              </w:rPr>
              <w:t>允许对外公开的发展规划和工作计划</w:t>
            </w:r>
          </w:p>
        </w:tc>
        <w:tc>
          <w:tcPr>
            <w:tcW w:w="1874" w:type="dxa"/>
            <w:vAlign w:val="center"/>
          </w:tcPr>
          <w:p>
            <w:pPr>
              <w:rPr>
                <w:rFonts w:hint="eastAsia" w:ascii="仿宋" w:hAnsi="仿宋" w:eastAsia="仿宋" w:cs="仿宋"/>
                <w:sz w:val="24"/>
                <w:szCs w:val="24"/>
              </w:rPr>
            </w:pPr>
            <w:r>
              <w:rPr>
                <w:rFonts w:hint="eastAsia" w:ascii="仿宋" w:hAnsi="仿宋" w:eastAsia="仿宋" w:cs="仿宋"/>
                <w:sz w:val="24"/>
                <w:szCs w:val="24"/>
              </w:rPr>
              <w:t>《中华人民共和国政府信息公开条例》</w:t>
            </w:r>
          </w:p>
        </w:tc>
        <w:tc>
          <w:tcPr>
            <w:tcW w:w="2955" w:type="dxa"/>
            <w:vAlign w:val="center"/>
          </w:tcPr>
          <w:p>
            <w:pPr>
              <w:rPr>
                <w:rFonts w:hint="eastAsia" w:ascii="仿宋" w:hAnsi="仿宋" w:eastAsia="仿宋" w:cs="仿宋"/>
                <w:sz w:val="24"/>
                <w:szCs w:val="24"/>
              </w:rPr>
            </w:pPr>
            <w:r>
              <w:rPr>
                <w:rFonts w:hint="eastAsia" w:ascii="仿宋" w:hAnsi="仿宋" w:eastAsia="仿宋" w:cs="仿宋"/>
                <w:sz w:val="24"/>
                <w:szCs w:val="24"/>
              </w:rPr>
              <w:t>信息产生、变更之日起20个工作日内公开，保持长期公开（相关法律法规另有规定的，从其规定）</w:t>
            </w:r>
          </w:p>
        </w:tc>
        <w:tc>
          <w:tcPr>
            <w:tcW w:w="1215" w:type="dxa"/>
            <w:vAlign w:val="center"/>
          </w:tcPr>
          <w:p>
            <w:pPr>
              <w:rPr>
                <w:rFonts w:hint="eastAsia" w:ascii="仿宋" w:hAnsi="仿宋" w:eastAsia="仿宋" w:cs="仿宋"/>
                <w:sz w:val="24"/>
                <w:szCs w:val="24"/>
              </w:rPr>
            </w:pPr>
            <w:r>
              <w:rPr>
                <w:rFonts w:hint="eastAsia" w:ascii="仿宋" w:hAnsi="仿宋" w:eastAsia="仿宋" w:cs="仿宋"/>
                <w:sz w:val="24"/>
                <w:szCs w:val="24"/>
              </w:rPr>
              <w:t>■政府网站</w:t>
            </w:r>
          </w:p>
        </w:tc>
        <w:tc>
          <w:tcPr>
            <w:tcW w:w="6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65" w:type="dxa"/>
            <w:vAlign w:val="center"/>
          </w:tcPr>
          <w:p>
            <w:pPr>
              <w:jc w:val="center"/>
              <w:rPr>
                <w:rFonts w:hint="eastAsia" w:ascii="仿宋" w:hAnsi="仿宋" w:eastAsia="仿宋" w:cs="仿宋"/>
                <w:sz w:val="24"/>
                <w:szCs w:val="24"/>
              </w:rPr>
            </w:pPr>
          </w:p>
        </w:tc>
        <w:tc>
          <w:tcPr>
            <w:tcW w:w="78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79" w:type="dxa"/>
            <w:vAlign w:val="center"/>
          </w:tcPr>
          <w:p>
            <w:pPr>
              <w:rPr>
                <w:rFonts w:hint="eastAsia" w:ascii="仿宋" w:hAnsi="仿宋" w:eastAsia="仿宋" w:cs="仿宋"/>
                <w:sz w:val="24"/>
                <w:szCs w:val="24"/>
              </w:rPr>
            </w:pPr>
          </w:p>
        </w:tc>
      </w:tr>
    </w:tbl>
    <w:p>
      <w:pPr>
        <w:rPr>
          <w:rFonts w:hint="eastAsia" w:ascii="仿宋" w:hAnsi="仿宋" w:eastAsia="仿宋" w:cs="仿宋"/>
          <w:sz w:val="21"/>
          <w:szCs w:val="21"/>
        </w:rPr>
      </w:pPr>
      <w:r>
        <w:rPr>
          <w:rFonts w:hint="eastAsia" w:ascii="仿宋" w:hAnsi="仿宋" w:eastAsia="仿宋" w:cs="仿宋"/>
          <w:sz w:val="21"/>
          <w:szCs w:val="21"/>
        </w:rPr>
        <w:t>注：法律、法规、规章和国家有关规定规定应当主动公共的其他政府信息应及时列入政务公开事项清单</w:t>
      </w:r>
      <w:bookmarkStart w:id="0" w:name="_GoBack"/>
      <w:bookmarkEnd w:id="0"/>
    </w:p>
    <w:sectPr>
      <w:pgSz w:w="16838" w:h="11906" w:orient="landscape"/>
      <w:pgMar w:top="1134" w:right="1440" w:bottom="124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iYTRkMTdmY2U0OGZlYWY1OGRkNGQ3ODBjMGMwYmQifQ=="/>
  </w:docVars>
  <w:rsids>
    <w:rsidRoot w:val="00000000"/>
    <w:rsid w:val="334A002F"/>
    <w:rsid w:val="64B84E5F"/>
    <w:rsid w:val="79187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 w:hAns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rPr>
      <w:rFonts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1134</Words>
  <Characters>1169</Characters>
  <Lines>0</Lines>
  <Paragraphs>0</Paragraphs>
  <TotalTime>10</TotalTime>
  <ScaleCrop>false</ScaleCrop>
  <LinksUpToDate>false</LinksUpToDate>
  <CharactersWithSpaces>1169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2022-06-10T02:45:00Z</dcterms:created>
  <dc:creator>thxkj</dc:creator>
  <cp:lastModifiedBy>愿无岁月可回头</cp:lastModifiedBy>
  <cp:lastPrinted>2022-06-10T03:27:29Z</cp:lastPrinted>
  <dcterms:modified xsi:type="dcterms:W3CDTF">2022-06-10T04:14:48Z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A9C14BF7912D451CB362AE6EF20D94C6</vt:lpwstr>
  </property>
</Properties>
</file>