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49" w:rsidRPr="00364149" w:rsidRDefault="00364149" w:rsidP="00364149">
      <w:pPr>
        <w:adjustRightInd/>
        <w:snapToGrid/>
        <w:spacing w:after="225"/>
        <w:jc w:val="center"/>
        <w:outlineLvl w:val="0"/>
        <w:rPr>
          <w:rFonts w:asciiTheme="minorEastAsia" w:eastAsiaTheme="minorEastAsia" w:hAnsiTheme="minorEastAsia" w:cs="Helvetica"/>
          <w:b/>
          <w:color w:val="000000"/>
          <w:kern w:val="36"/>
          <w:sz w:val="44"/>
          <w:szCs w:val="44"/>
        </w:rPr>
      </w:pPr>
      <w:r w:rsidRPr="00364149">
        <w:rPr>
          <w:rFonts w:asciiTheme="minorEastAsia" w:eastAsiaTheme="minorEastAsia" w:hAnsiTheme="minorEastAsia" w:cs="Helvetica"/>
          <w:b/>
          <w:color w:val="000000"/>
          <w:kern w:val="36"/>
          <w:sz w:val="44"/>
          <w:szCs w:val="44"/>
        </w:rPr>
        <w:t>少拜寺镇人民政府2021年政府信息公开工作年度报告</w:t>
      </w:r>
    </w:p>
    <w:p w:rsidR="00364149" w:rsidRPr="00364149" w:rsidRDefault="00364149" w:rsidP="00364149">
      <w:pPr>
        <w:adjustRightInd/>
        <w:snapToGrid/>
        <w:spacing w:before="225" w:after="225"/>
        <w:outlineLvl w:val="1"/>
        <w:rPr>
          <w:rFonts w:asciiTheme="minorEastAsia" w:eastAsiaTheme="minorEastAsia" w:hAnsiTheme="minorEastAsia" w:cs="Helvetica"/>
          <w:b/>
          <w:bCs/>
          <w:color w:val="000000"/>
          <w:sz w:val="28"/>
          <w:szCs w:val="28"/>
        </w:rPr>
      </w:pPr>
      <w:r w:rsidRPr="00364149">
        <w:rPr>
          <w:rFonts w:asciiTheme="minorEastAsia" w:eastAsiaTheme="minorEastAsia" w:hAnsiTheme="minorEastAsia" w:cs="Helvetica"/>
          <w:b/>
          <w:bCs/>
          <w:color w:val="000000"/>
          <w:sz w:val="28"/>
          <w:szCs w:val="28"/>
        </w:rPr>
        <w:t>一、总体情况</w:t>
      </w:r>
    </w:p>
    <w:p w:rsidR="00854AD9" w:rsidRPr="00364149" w:rsidRDefault="00364149" w:rsidP="00854AD9">
      <w:pPr>
        <w:adjustRightInd/>
        <w:snapToGrid/>
        <w:spacing w:after="0"/>
        <w:ind w:firstLineChars="200" w:firstLine="560"/>
        <w:outlineLvl w:val="0"/>
        <w:rPr>
          <w:rFonts w:asciiTheme="minorEastAsia" w:eastAsiaTheme="minorEastAsia" w:hAnsiTheme="minorEastAsia" w:cs="Helvetica"/>
          <w:color w:val="000000"/>
          <w:kern w:val="36"/>
          <w:sz w:val="28"/>
          <w:szCs w:val="28"/>
        </w:rPr>
      </w:pPr>
      <w:r w:rsidRPr="00364149">
        <w:rPr>
          <w:rFonts w:asciiTheme="minorEastAsia" w:eastAsiaTheme="minorEastAsia" w:hAnsiTheme="minorEastAsia" w:cs="Helvetica"/>
          <w:color w:val="000000"/>
          <w:kern w:val="36"/>
          <w:sz w:val="28"/>
          <w:szCs w:val="28"/>
        </w:rPr>
        <w:t>2021年，少拜寺镇根据市县关于政府信息与政务公开工作的有关决策部署和要求，将应公开的政府信息全面公开，严格遵循保密规定，严禁将涉及国家秘密、商业秘密和个人隐私及其他按规定不宜或不能公开的政府信息对外公开，确保无泄密事件发生。在宣传栏展示、LED显示屏播放等传统政务公开形式的基础上，利用“今日头条”等自媒体平台，进行专刊专栏信息报道及信息公开，及时将惠民政策等内容向社会公开，共发布政务信息113件。通过举报信箱、热线电话和各类网络问政平台接受居民咨询、建议、投诉等，处理回复各类咨询舆情回复21件。共制定完善“一次办好”事项清单113项，开展便民服务活动84次，办理事项1690余件。2021年</w:t>
      </w:r>
      <w:r w:rsidR="00854AD9">
        <w:rPr>
          <w:rFonts w:asciiTheme="minorEastAsia" w:eastAsiaTheme="minorEastAsia" w:hAnsiTheme="minorEastAsia" w:cs="Helvetica"/>
          <w:color w:val="000000"/>
          <w:kern w:val="36"/>
          <w:sz w:val="28"/>
          <w:szCs w:val="28"/>
        </w:rPr>
        <w:t>，少拜寺镇未发生因政府信息公开申请行政复议、提起行政诉讼的案件</w:t>
      </w:r>
    </w:p>
    <w:p w:rsidR="00364149" w:rsidRPr="00364149" w:rsidRDefault="00364149" w:rsidP="00364149">
      <w:pPr>
        <w:adjustRightInd/>
        <w:snapToGrid/>
        <w:spacing w:before="225" w:after="225"/>
        <w:outlineLvl w:val="1"/>
        <w:rPr>
          <w:rFonts w:asciiTheme="minorEastAsia" w:eastAsiaTheme="minorEastAsia" w:hAnsiTheme="minorEastAsia" w:cs="Helvetica"/>
          <w:b/>
          <w:bCs/>
          <w:color w:val="000000"/>
          <w:sz w:val="28"/>
          <w:szCs w:val="28"/>
        </w:rPr>
      </w:pPr>
      <w:r w:rsidRPr="00364149">
        <w:rPr>
          <w:rFonts w:asciiTheme="minorEastAsia" w:eastAsiaTheme="minorEastAsia" w:hAnsiTheme="minorEastAsia" w:cs="Helvetica"/>
          <w:b/>
          <w:bCs/>
          <w:color w:val="000000"/>
          <w:sz w:val="28"/>
          <w:szCs w:val="28"/>
        </w:rPr>
        <w:t>二、主动公开政府信息情况</w:t>
      </w:r>
    </w:p>
    <w:tbl>
      <w:tblPr>
        <w:tblW w:w="9162" w:type="dxa"/>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58"/>
        <w:gridCol w:w="1286"/>
        <w:gridCol w:w="1559"/>
        <w:gridCol w:w="1559"/>
      </w:tblGrid>
      <w:tr w:rsidR="00364149" w:rsidRPr="00364149" w:rsidTr="00854AD9">
        <w:trPr>
          <w:trHeight w:val="600"/>
          <w:jc w:val="center"/>
        </w:trPr>
        <w:tc>
          <w:tcPr>
            <w:tcW w:w="9162" w:type="dxa"/>
            <w:gridSpan w:val="4"/>
            <w:shd w:val="clear" w:color="auto" w:fill="C9D9EF"/>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第二十条第（一）项</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信息内容</w:t>
            </w:r>
          </w:p>
        </w:tc>
        <w:tc>
          <w:tcPr>
            <w:tcW w:w="1286"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本年制发件数</w:t>
            </w:r>
          </w:p>
        </w:tc>
        <w:tc>
          <w:tcPr>
            <w:tcW w:w="1559"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本年废止件数</w:t>
            </w:r>
          </w:p>
        </w:tc>
        <w:tc>
          <w:tcPr>
            <w:tcW w:w="1559"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现行有效件数</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规章</w:t>
            </w:r>
          </w:p>
        </w:tc>
        <w:tc>
          <w:tcPr>
            <w:tcW w:w="1286"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1559"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1559"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行政规范性文件</w:t>
            </w:r>
          </w:p>
        </w:tc>
        <w:tc>
          <w:tcPr>
            <w:tcW w:w="1286"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1559"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1559"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364149" w:rsidRPr="00364149" w:rsidTr="00854AD9">
        <w:trPr>
          <w:trHeight w:val="600"/>
          <w:jc w:val="center"/>
        </w:trPr>
        <w:tc>
          <w:tcPr>
            <w:tcW w:w="9162" w:type="dxa"/>
            <w:gridSpan w:val="4"/>
            <w:shd w:val="clear" w:color="auto" w:fill="C9D9EF"/>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第二十条第（五）项</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lastRenderedPageBreak/>
              <w:t>信息内容</w:t>
            </w:r>
          </w:p>
        </w:tc>
        <w:tc>
          <w:tcPr>
            <w:tcW w:w="4404"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本年处理决定数量</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行政许可</w:t>
            </w:r>
          </w:p>
        </w:tc>
        <w:tc>
          <w:tcPr>
            <w:tcW w:w="4404"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364149" w:rsidRPr="00364149" w:rsidTr="00854AD9">
        <w:trPr>
          <w:trHeight w:val="600"/>
          <w:jc w:val="center"/>
        </w:trPr>
        <w:tc>
          <w:tcPr>
            <w:tcW w:w="9162" w:type="dxa"/>
            <w:gridSpan w:val="4"/>
            <w:shd w:val="clear" w:color="auto" w:fill="C9D9EF"/>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第二十条第（六）项</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信息内容</w:t>
            </w:r>
          </w:p>
        </w:tc>
        <w:tc>
          <w:tcPr>
            <w:tcW w:w="4404"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本年处理决定数量</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行政处罚</w:t>
            </w:r>
          </w:p>
        </w:tc>
        <w:tc>
          <w:tcPr>
            <w:tcW w:w="4404"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行政强制</w:t>
            </w:r>
          </w:p>
        </w:tc>
        <w:tc>
          <w:tcPr>
            <w:tcW w:w="4404"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364149" w:rsidRPr="00364149" w:rsidTr="00854AD9">
        <w:trPr>
          <w:trHeight w:val="600"/>
          <w:jc w:val="center"/>
        </w:trPr>
        <w:tc>
          <w:tcPr>
            <w:tcW w:w="9162" w:type="dxa"/>
            <w:gridSpan w:val="4"/>
            <w:shd w:val="clear" w:color="auto" w:fill="C9D9EF"/>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第二十条第（八）项</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信息内容</w:t>
            </w:r>
          </w:p>
        </w:tc>
        <w:tc>
          <w:tcPr>
            <w:tcW w:w="4404"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本年收费金额（单位：万元，保留4位小数）</w:t>
            </w:r>
          </w:p>
        </w:tc>
      </w:tr>
      <w:tr w:rsidR="00364149" w:rsidRPr="00364149" w:rsidTr="00854AD9">
        <w:trPr>
          <w:trHeight w:val="600"/>
          <w:jc w:val="center"/>
        </w:trPr>
        <w:tc>
          <w:tcPr>
            <w:tcW w:w="4758"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行政事业性收费</w:t>
            </w:r>
          </w:p>
        </w:tc>
        <w:tc>
          <w:tcPr>
            <w:tcW w:w="4404"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bl>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364149" w:rsidRPr="00364149" w:rsidRDefault="00364149" w:rsidP="00364149">
      <w:pPr>
        <w:adjustRightInd/>
        <w:snapToGrid/>
        <w:spacing w:before="225" w:after="225"/>
        <w:outlineLvl w:val="1"/>
        <w:rPr>
          <w:rFonts w:asciiTheme="minorEastAsia" w:eastAsiaTheme="minorEastAsia" w:hAnsiTheme="minorEastAsia" w:cs="Helvetica"/>
          <w:b/>
          <w:bCs/>
          <w:color w:val="000000"/>
          <w:sz w:val="28"/>
          <w:szCs w:val="28"/>
        </w:rPr>
      </w:pPr>
      <w:r w:rsidRPr="00364149">
        <w:rPr>
          <w:rFonts w:asciiTheme="minorEastAsia" w:eastAsiaTheme="minorEastAsia" w:hAnsiTheme="minorEastAsia" w:cs="Helvetica"/>
          <w:b/>
          <w:bCs/>
          <w:color w:val="000000"/>
          <w:sz w:val="28"/>
          <w:szCs w:val="28"/>
        </w:rPr>
        <w:lastRenderedPageBreak/>
        <w:t>三、收到和处理政府信息公开申请情况</w:t>
      </w:r>
    </w:p>
    <w:tbl>
      <w:tblPr>
        <w:tblW w:w="128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14"/>
        <w:gridCol w:w="1446"/>
        <w:gridCol w:w="4175"/>
        <w:gridCol w:w="792"/>
        <w:gridCol w:w="851"/>
        <w:gridCol w:w="992"/>
        <w:gridCol w:w="851"/>
        <w:gridCol w:w="992"/>
        <w:gridCol w:w="567"/>
        <w:gridCol w:w="567"/>
      </w:tblGrid>
      <w:tr w:rsidR="00364149" w:rsidRPr="00364149" w:rsidTr="00854AD9">
        <w:trPr>
          <w:trHeight w:val="600"/>
          <w:jc w:val="right"/>
        </w:trPr>
        <w:tc>
          <w:tcPr>
            <w:tcW w:w="7235" w:type="dxa"/>
            <w:gridSpan w:val="3"/>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（本列数据的勾稽关系为：第一项加第二项之和，等于第三项加第四项之和）</w:t>
            </w:r>
          </w:p>
        </w:tc>
        <w:tc>
          <w:tcPr>
            <w:tcW w:w="5612" w:type="dxa"/>
            <w:gridSpan w:val="7"/>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申请人情况</w:t>
            </w:r>
          </w:p>
        </w:tc>
      </w:tr>
      <w:tr w:rsidR="00364149" w:rsidRPr="00364149" w:rsidTr="00854AD9">
        <w:trPr>
          <w:trHeight w:val="600"/>
          <w:jc w:val="right"/>
        </w:trPr>
        <w:tc>
          <w:tcPr>
            <w:tcW w:w="7235" w:type="dxa"/>
            <w:gridSpan w:val="3"/>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792" w:type="dxa"/>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自然人</w:t>
            </w:r>
          </w:p>
        </w:tc>
        <w:tc>
          <w:tcPr>
            <w:tcW w:w="4253" w:type="dxa"/>
            <w:gridSpan w:val="5"/>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法人或其他组织</w:t>
            </w:r>
          </w:p>
        </w:tc>
        <w:tc>
          <w:tcPr>
            <w:tcW w:w="567" w:type="dxa"/>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总计</w:t>
            </w:r>
          </w:p>
        </w:tc>
      </w:tr>
      <w:tr w:rsidR="00854AD9" w:rsidRPr="00364149" w:rsidTr="00854AD9">
        <w:trPr>
          <w:trHeight w:val="600"/>
          <w:jc w:val="right"/>
        </w:trPr>
        <w:tc>
          <w:tcPr>
            <w:tcW w:w="7235" w:type="dxa"/>
            <w:gridSpan w:val="3"/>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792" w:type="dxa"/>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商业企业</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科研机构</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社会公益组织</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法律服务机构</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其他</w:t>
            </w:r>
          </w:p>
        </w:tc>
        <w:tc>
          <w:tcPr>
            <w:tcW w:w="567" w:type="dxa"/>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r>
      <w:tr w:rsidR="00854AD9" w:rsidRPr="00364149" w:rsidTr="00854AD9">
        <w:trPr>
          <w:trHeight w:val="600"/>
          <w:jc w:val="right"/>
        </w:trPr>
        <w:tc>
          <w:tcPr>
            <w:tcW w:w="7235"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一、本年新收政府信息公开申请数量</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7235"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二、上年结转政府信息公开申请数量</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三、本年度办理结果</w:t>
            </w:r>
          </w:p>
        </w:tc>
        <w:tc>
          <w:tcPr>
            <w:tcW w:w="5621" w:type="dxa"/>
            <w:gridSpan w:val="2"/>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（一）予以公开</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5621" w:type="dxa"/>
            <w:gridSpan w:val="2"/>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（二）部分公开（区分处理的，只计这一情形，不计其他情形）</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（三）不予公开</w:t>
            </w: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1.属于国家秘密</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2.其他法律行政法规禁止公开</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3.危及“三安全一稳定”</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4.保护第三方合法权益</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5.属于三类内部事务信息</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6.属于四类过程性信息</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7.属于行政执法案卷</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8.属于行政查询事项</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（四）无法提供</w:t>
            </w: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1.本机关不掌握相关政府信息</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2.没有现成信息需要另行制作</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3.补正后申请内容仍不明确</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（五）不予处理</w:t>
            </w: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1.信访举报投诉类申请</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2.重复申请</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3.要求提供公开出版物</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4.无正当理由大量反复申请</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5.要求行政机关确认或重新出具已获取信息</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（六）其他处理</w:t>
            </w: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1.申请人无正当理由逾期不补正、行政机关不再处理其政府信息公开申请</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2.申请人逾期未按收费通知要求缴纳费用、行政机关不再处理其政府信息公开申请</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4175"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3.其他</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5621" w:type="dxa"/>
            <w:gridSpan w:val="2"/>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（七）总计</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r w:rsidR="00854AD9" w:rsidRPr="00364149" w:rsidTr="00854AD9">
        <w:trPr>
          <w:trHeight w:val="600"/>
          <w:jc w:val="right"/>
        </w:trPr>
        <w:tc>
          <w:tcPr>
            <w:tcW w:w="7235" w:type="dxa"/>
            <w:gridSpan w:val="3"/>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四、结转下年度继续办理</w:t>
            </w:r>
          </w:p>
        </w:tc>
        <w:tc>
          <w:tcPr>
            <w:tcW w:w="7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851"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992"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567" w:type="dxa"/>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bl>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364149" w:rsidRPr="00364149" w:rsidRDefault="00364149" w:rsidP="00364149">
      <w:pPr>
        <w:adjustRightInd/>
        <w:snapToGrid/>
        <w:spacing w:before="225" w:after="225"/>
        <w:outlineLvl w:val="1"/>
        <w:rPr>
          <w:rFonts w:asciiTheme="minorEastAsia" w:eastAsiaTheme="minorEastAsia" w:hAnsiTheme="minorEastAsia" w:cs="Helvetica"/>
          <w:b/>
          <w:bCs/>
          <w:color w:val="000000"/>
          <w:sz w:val="28"/>
          <w:szCs w:val="28"/>
        </w:rPr>
      </w:pPr>
      <w:r w:rsidRPr="00364149">
        <w:rPr>
          <w:rFonts w:asciiTheme="minorEastAsia" w:eastAsiaTheme="minorEastAsia" w:hAnsiTheme="minorEastAsia" w:cs="Helvetica"/>
          <w:b/>
          <w:bCs/>
          <w:color w:val="000000"/>
          <w:sz w:val="28"/>
          <w:szCs w:val="28"/>
        </w:rPr>
        <w:lastRenderedPageBreak/>
        <w:t>四、政府信息公开行政复议、行政诉讼情况</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10"/>
        <w:gridCol w:w="1110"/>
        <w:gridCol w:w="1110"/>
        <w:gridCol w:w="1109"/>
        <w:gridCol w:w="563"/>
        <w:gridCol w:w="1109"/>
        <w:gridCol w:w="1109"/>
        <w:gridCol w:w="1109"/>
        <w:gridCol w:w="1109"/>
        <w:gridCol w:w="563"/>
        <w:gridCol w:w="1109"/>
        <w:gridCol w:w="1109"/>
        <w:gridCol w:w="1109"/>
        <w:gridCol w:w="1109"/>
        <w:gridCol w:w="563"/>
      </w:tblGrid>
      <w:tr w:rsidR="00364149" w:rsidRPr="00364149" w:rsidTr="00854AD9">
        <w:trPr>
          <w:trHeight w:val="600"/>
        </w:trPr>
        <w:tc>
          <w:tcPr>
            <w:tcW w:w="0" w:type="auto"/>
            <w:gridSpan w:val="5"/>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行政复议</w:t>
            </w:r>
          </w:p>
        </w:tc>
        <w:tc>
          <w:tcPr>
            <w:tcW w:w="0" w:type="auto"/>
            <w:gridSpan w:val="10"/>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行政诉讼</w:t>
            </w:r>
          </w:p>
        </w:tc>
      </w:tr>
      <w:tr w:rsidR="00364149" w:rsidRPr="00364149" w:rsidTr="00854AD9">
        <w:trPr>
          <w:trHeight w:val="600"/>
        </w:trPr>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结果维持</w:t>
            </w:r>
          </w:p>
        </w:tc>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结果纠正</w:t>
            </w:r>
          </w:p>
        </w:tc>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其他结果</w:t>
            </w:r>
          </w:p>
        </w:tc>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尚未审结</w:t>
            </w:r>
          </w:p>
        </w:tc>
        <w:tc>
          <w:tcPr>
            <w:tcW w:w="0" w:type="auto"/>
            <w:vMerge w:val="restart"/>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总计</w:t>
            </w:r>
          </w:p>
        </w:tc>
        <w:tc>
          <w:tcPr>
            <w:tcW w:w="0" w:type="auto"/>
            <w:gridSpan w:val="5"/>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未经复议直接起诉</w:t>
            </w:r>
          </w:p>
        </w:tc>
        <w:tc>
          <w:tcPr>
            <w:tcW w:w="0" w:type="auto"/>
            <w:gridSpan w:val="5"/>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复议后起诉</w:t>
            </w:r>
          </w:p>
        </w:tc>
      </w:tr>
      <w:tr w:rsidR="00364149" w:rsidRPr="00364149" w:rsidTr="00854AD9">
        <w:trPr>
          <w:trHeight w:val="600"/>
        </w:trPr>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Merge/>
            <w:vAlign w:val="center"/>
            <w:hideMark/>
          </w:tcPr>
          <w:p w:rsidR="00364149" w:rsidRPr="00364149" w:rsidRDefault="00364149" w:rsidP="00364149">
            <w:pPr>
              <w:adjustRightInd/>
              <w:snapToGrid/>
              <w:spacing w:after="0"/>
              <w:rPr>
                <w:rFonts w:asciiTheme="minorEastAsia" w:eastAsiaTheme="minorEastAsia" w:hAnsiTheme="minorEastAsia" w:cs="Helvetica"/>
                <w:color w:val="000000"/>
                <w:sz w:val="28"/>
                <w:szCs w:val="28"/>
              </w:rPr>
            </w:pP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结果维持</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结果纠正</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其他结果</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尚未审结</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总计</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结果维持</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结果纠正</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其他结果</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尚未审结</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总计</w:t>
            </w:r>
          </w:p>
        </w:tc>
      </w:tr>
      <w:tr w:rsidR="00364149" w:rsidRPr="00364149" w:rsidTr="00854AD9">
        <w:trPr>
          <w:trHeight w:val="600"/>
        </w:trPr>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c>
          <w:tcPr>
            <w:tcW w:w="0" w:type="auto"/>
            <w:vAlign w:val="center"/>
            <w:hideMark/>
          </w:tcPr>
          <w:p w:rsidR="00364149" w:rsidRPr="00364149" w:rsidRDefault="00364149" w:rsidP="00364149">
            <w:pPr>
              <w:adjustRightInd/>
              <w:snapToGrid/>
              <w:spacing w:after="0"/>
              <w:jc w:val="center"/>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0</w:t>
            </w:r>
          </w:p>
        </w:tc>
      </w:tr>
    </w:tbl>
    <w:p w:rsidR="00854AD9" w:rsidRDefault="00854AD9" w:rsidP="00364149">
      <w:pPr>
        <w:adjustRightInd/>
        <w:snapToGrid/>
        <w:spacing w:before="225" w:after="225"/>
        <w:outlineLvl w:val="1"/>
        <w:rPr>
          <w:rFonts w:asciiTheme="minorEastAsia" w:eastAsiaTheme="minorEastAsia" w:hAnsiTheme="minorEastAsia" w:cs="Helvetica" w:hint="eastAsia"/>
          <w:b/>
          <w:bCs/>
          <w:color w:val="000000"/>
          <w:sz w:val="28"/>
          <w:szCs w:val="28"/>
        </w:rPr>
      </w:pPr>
    </w:p>
    <w:p w:rsidR="00364149" w:rsidRPr="00364149" w:rsidRDefault="00364149" w:rsidP="00364149">
      <w:pPr>
        <w:adjustRightInd/>
        <w:snapToGrid/>
        <w:spacing w:before="225" w:after="225"/>
        <w:outlineLvl w:val="1"/>
        <w:rPr>
          <w:rFonts w:asciiTheme="minorEastAsia" w:eastAsiaTheme="minorEastAsia" w:hAnsiTheme="minorEastAsia" w:cs="Helvetica"/>
          <w:b/>
          <w:bCs/>
          <w:color w:val="000000"/>
          <w:sz w:val="28"/>
          <w:szCs w:val="28"/>
        </w:rPr>
      </w:pPr>
      <w:r w:rsidRPr="00364149">
        <w:rPr>
          <w:rFonts w:asciiTheme="minorEastAsia" w:eastAsiaTheme="minorEastAsia" w:hAnsiTheme="minorEastAsia" w:cs="Helvetica"/>
          <w:b/>
          <w:bCs/>
          <w:color w:val="000000"/>
          <w:sz w:val="28"/>
          <w:szCs w:val="28"/>
        </w:rPr>
        <w:t>五、存在的主要问题及改进情况</w:t>
      </w:r>
    </w:p>
    <w:p w:rsidR="00364149" w:rsidRPr="00364149" w:rsidRDefault="00364149" w:rsidP="00854AD9">
      <w:pPr>
        <w:adjustRightInd/>
        <w:snapToGrid/>
        <w:spacing w:after="0"/>
        <w:ind w:firstLineChars="200" w:firstLine="560"/>
        <w:outlineLvl w:val="0"/>
        <w:rPr>
          <w:rFonts w:asciiTheme="minorEastAsia" w:eastAsiaTheme="minorEastAsia" w:hAnsiTheme="minorEastAsia" w:cs="Helvetica"/>
          <w:color w:val="000000"/>
          <w:kern w:val="36"/>
          <w:sz w:val="28"/>
          <w:szCs w:val="28"/>
        </w:rPr>
      </w:pPr>
      <w:r w:rsidRPr="00364149">
        <w:rPr>
          <w:rFonts w:asciiTheme="minorEastAsia" w:eastAsiaTheme="minorEastAsia" w:hAnsiTheme="minorEastAsia" w:cs="Helvetica" w:hint="eastAsia"/>
          <w:color w:val="000000"/>
          <w:kern w:val="36"/>
          <w:sz w:val="28"/>
          <w:szCs w:val="28"/>
        </w:rPr>
        <w:t>一年来，少拜寺镇信息公开工作在县政务服务中心的关心指导下，取得了一定成绩，但也存在不少问题，表现如下：   </w:t>
      </w:r>
    </w:p>
    <w:p w:rsidR="00364149" w:rsidRPr="00364149" w:rsidRDefault="00364149" w:rsidP="00364149">
      <w:pPr>
        <w:adjustRightInd/>
        <w:snapToGrid/>
        <w:spacing w:after="0"/>
        <w:outlineLvl w:val="0"/>
        <w:rPr>
          <w:rFonts w:asciiTheme="minorEastAsia" w:eastAsiaTheme="minorEastAsia" w:hAnsiTheme="minorEastAsia" w:cs="Helvetica"/>
          <w:color w:val="000000"/>
          <w:kern w:val="36"/>
          <w:sz w:val="28"/>
          <w:szCs w:val="28"/>
        </w:rPr>
      </w:pPr>
      <w:r w:rsidRPr="00364149">
        <w:rPr>
          <w:rFonts w:asciiTheme="minorEastAsia" w:eastAsiaTheme="minorEastAsia" w:hAnsiTheme="minorEastAsia" w:cs="Helvetica" w:hint="eastAsia"/>
          <w:color w:val="000000"/>
          <w:kern w:val="36"/>
          <w:sz w:val="28"/>
          <w:szCs w:val="28"/>
        </w:rPr>
        <w:t>（一）村干部信息化水平普遍较低，村级政务公开工作有一定难度。</w:t>
      </w:r>
    </w:p>
    <w:p w:rsidR="00364149" w:rsidRPr="00364149" w:rsidRDefault="00364149" w:rsidP="00364149">
      <w:pPr>
        <w:adjustRightInd/>
        <w:snapToGrid/>
        <w:spacing w:after="0"/>
        <w:outlineLvl w:val="0"/>
        <w:rPr>
          <w:rFonts w:asciiTheme="minorEastAsia" w:eastAsiaTheme="minorEastAsia" w:hAnsiTheme="minorEastAsia" w:cs="Helvetica"/>
          <w:color w:val="000000"/>
          <w:kern w:val="36"/>
          <w:sz w:val="28"/>
          <w:szCs w:val="28"/>
        </w:rPr>
      </w:pPr>
      <w:r w:rsidRPr="00364149">
        <w:rPr>
          <w:rFonts w:asciiTheme="minorEastAsia" w:eastAsiaTheme="minorEastAsia" w:hAnsiTheme="minorEastAsia" w:cs="Helvetica" w:hint="eastAsia"/>
          <w:color w:val="000000"/>
          <w:kern w:val="36"/>
          <w:sz w:val="28"/>
          <w:szCs w:val="28"/>
        </w:rPr>
        <w:t>（二）个别单位、行政村对政务公开、政府信息公开工作重要性认识不够，主动公开积极性不高，宣传教育工作还有待提高。</w:t>
      </w:r>
    </w:p>
    <w:p w:rsidR="00364149" w:rsidRPr="00364149" w:rsidRDefault="00364149" w:rsidP="00364149">
      <w:pPr>
        <w:adjustRightInd/>
        <w:snapToGrid/>
        <w:spacing w:after="0"/>
        <w:outlineLvl w:val="0"/>
        <w:rPr>
          <w:rFonts w:asciiTheme="minorEastAsia" w:eastAsiaTheme="minorEastAsia" w:hAnsiTheme="minorEastAsia" w:cs="Helvetica"/>
          <w:color w:val="000000"/>
          <w:kern w:val="36"/>
          <w:sz w:val="28"/>
          <w:szCs w:val="28"/>
        </w:rPr>
      </w:pPr>
      <w:r w:rsidRPr="00364149">
        <w:rPr>
          <w:rFonts w:asciiTheme="minorEastAsia" w:eastAsiaTheme="minorEastAsia" w:hAnsiTheme="minorEastAsia" w:cs="Helvetica" w:hint="eastAsia"/>
          <w:color w:val="000000"/>
          <w:kern w:val="36"/>
          <w:sz w:val="28"/>
          <w:szCs w:val="28"/>
        </w:rPr>
        <w:t>改进措施：配备懂电脑的年轻人为村级后备干部，担任村级政务公开信息工作；加强宣传教育，进一步增强干部做好信息公开工作的责任感；继续严格按照政府信息公开、政务公开的各项要求和目标，不断完善政府信息公开的平台和载体功能。健全信息公开制度，进一步规范信息公开行为和具体公开内容，不断提高信息公开质量和效率。</w:t>
      </w:r>
    </w:p>
    <w:p w:rsidR="00854AD9" w:rsidRPr="00364149" w:rsidRDefault="00854AD9" w:rsidP="00364149">
      <w:pPr>
        <w:adjustRightInd/>
        <w:snapToGrid/>
        <w:spacing w:after="100"/>
        <w:rPr>
          <w:rFonts w:asciiTheme="minorEastAsia" w:eastAsiaTheme="minorEastAsia" w:hAnsiTheme="minorEastAsia" w:cs="Helvetica"/>
          <w:color w:val="000000"/>
          <w:sz w:val="28"/>
          <w:szCs w:val="28"/>
        </w:rPr>
      </w:pPr>
    </w:p>
    <w:p w:rsidR="00364149" w:rsidRPr="00364149" w:rsidRDefault="00364149" w:rsidP="00364149">
      <w:pPr>
        <w:adjustRightInd/>
        <w:snapToGrid/>
        <w:spacing w:before="225" w:after="225"/>
        <w:outlineLvl w:val="1"/>
        <w:rPr>
          <w:rFonts w:asciiTheme="minorEastAsia" w:eastAsiaTheme="minorEastAsia" w:hAnsiTheme="minorEastAsia" w:cs="Helvetica"/>
          <w:b/>
          <w:bCs/>
          <w:color w:val="000000"/>
          <w:sz w:val="28"/>
          <w:szCs w:val="28"/>
        </w:rPr>
      </w:pPr>
      <w:r w:rsidRPr="00364149">
        <w:rPr>
          <w:rFonts w:asciiTheme="minorEastAsia" w:eastAsiaTheme="minorEastAsia" w:hAnsiTheme="minorEastAsia" w:cs="Helvetica"/>
          <w:b/>
          <w:bCs/>
          <w:color w:val="000000"/>
          <w:sz w:val="28"/>
          <w:szCs w:val="28"/>
        </w:rPr>
        <w:lastRenderedPageBreak/>
        <w:t>六、其他需要报告的事项</w:t>
      </w:r>
    </w:p>
    <w:p w:rsidR="00364149" w:rsidRPr="00364149" w:rsidRDefault="00364149" w:rsidP="00364149">
      <w:pPr>
        <w:adjustRightInd/>
        <w:snapToGrid/>
        <w:spacing w:after="100"/>
        <w:rPr>
          <w:rFonts w:asciiTheme="minorEastAsia" w:eastAsiaTheme="minorEastAsia" w:hAnsiTheme="minorEastAsia" w:cs="Helvetica"/>
          <w:color w:val="000000"/>
          <w:sz w:val="28"/>
          <w:szCs w:val="28"/>
        </w:rPr>
      </w:pPr>
      <w:r w:rsidRPr="00364149">
        <w:rPr>
          <w:rFonts w:asciiTheme="minorEastAsia" w:eastAsiaTheme="minorEastAsia" w:hAnsiTheme="minorEastAsia" w:cs="Helvetica"/>
          <w:color w:val="000000"/>
          <w:sz w:val="28"/>
          <w:szCs w:val="28"/>
        </w:rPr>
        <w:t>无</w:t>
      </w:r>
    </w:p>
    <w:p w:rsidR="004358AB" w:rsidRPr="00364149" w:rsidRDefault="004358AB" w:rsidP="00D31D50">
      <w:pPr>
        <w:spacing w:line="220" w:lineRule="atLeast"/>
        <w:rPr>
          <w:rFonts w:asciiTheme="minorEastAsia" w:eastAsiaTheme="minorEastAsia" w:hAnsiTheme="minorEastAsia"/>
          <w:sz w:val="28"/>
          <w:szCs w:val="28"/>
        </w:rPr>
      </w:pPr>
    </w:p>
    <w:sectPr w:rsidR="004358AB" w:rsidRPr="00364149" w:rsidSect="00854AD9">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323B43"/>
    <w:rsid w:val="00364149"/>
    <w:rsid w:val="003D37D8"/>
    <w:rsid w:val="00426133"/>
    <w:rsid w:val="004358AB"/>
    <w:rsid w:val="00660B75"/>
    <w:rsid w:val="00854AD9"/>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364149"/>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link w:val="2Char"/>
    <w:uiPriority w:val="9"/>
    <w:qFormat/>
    <w:rsid w:val="00364149"/>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4149"/>
    <w:rPr>
      <w:rFonts w:ascii="宋体" w:eastAsia="宋体" w:hAnsi="宋体" w:cs="宋体"/>
      <w:b/>
      <w:bCs/>
      <w:kern w:val="36"/>
      <w:sz w:val="48"/>
      <w:szCs w:val="48"/>
    </w:rPr>
  </w:style>
  <w:style w:type="character" w:customStyle="1" w:styleId="2Char">
    <w:name w:val="标题 2 Char"/>
    <w:basedOn w:val="a0"/>
    <w:link w:val="2"/>
    <w:uiPriority w:val="9"/>
    <w:rsid w:val="00364149"/>
    <w:rPr>
      <w:rFonts w:ascii="宋体" w:eastAsia="宋体" w:hAnsi="宋体" w:cs="宋体"/>
      <w:b/>
      <w:bCs/>
      <w:sz w:val="36"/>
      <w:szCs w:val="36"/>
    </w:rPr>
  </w:style>
  <w:style w:type="paragraph" w:styleId="a3">
    <w:name w:val="Normal (Web)"/>
    <w:basedOn w:val="a"/>
    <w:uiPriority w:val="99"/>
    <w:semiHidden/>
    <w:unhideWhenUsed/>
    <w:rsid w:val="0036414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27655488">
      <w:bodyDiv w:val="1"/>
      <w:marLeft w:val="0"/>
      <w:marRight w:val="0"/>
      <w:marTop w:val="0"/>
      <w:marBottom w:val="0"/>
      <w:divBdr>
        <w:top w:val="none" w:sz="0" w:space="0" w:color="auto"/>
        <w:left w:val="none" w:sz="0" w:space="0" w:color="auto"/>
        <w:bottom w:val="none" w:sz="0" w:space="0" w:color="auto"/>
        <w:right w:val="none" w:sz="0" w:space="0" w:color="auto"/>
      </w:divBdr>
      <w:divsChild>
        <w:div w:id="1087766730">
          <w:marLeft w:val="0"/>
          <w:marRight w:val="0"/>
          <w:marTop w:val="0"/>
          <w:marBottom w:val="0"/>
          <w:divBdr>
            <w:top w:val="none" w:sz="0" w:space="0" w:color="auto"/>
            <w:left w:val="none" w:sz="0" w:space="0" w:color="auto"/>
            <w:bottom w:val="none" w:sz="0" w:space="0" w:color="auto"/>
            <w:right w:val="none" w:sz="0" w:space="0" w:color="auto"/>
          </w:divBdr>
        </w:div>
        <w:div w:id="1306735476">
          <w:marLeft w:val="0"/>
          <w:marRight w:val="0"/>
          <w:marTop w:val="100"/>
          <w:marBottom w:val="100"/>
          <w:divBdr>
            <w:top w:val="none" w:sz="0" w:space="0" w:color="auto"/>
            <w:left w:val="none" w:sz="0" w:space="0" w:color="auto"/>
            <w:bottom w:val="none" w:sz="0" w:space="0" w:color="auto"/>
            <w:right w:val="none" w:sz="0" w:space="0" w:color="auto"/>
          </w:divBdr>
        </w:div>
        <w:div w:id="184054086">
          <w:marLeft w:val="0"/>
          <w:marRight w:val="0"/>
          <w:marTop w:val="100"/>
          <w:marBottom w:val="100"/>
          <w:divBdr>
            <w:top w:val="none" w:sz="0" w:space="0" w:color="auto"/>
            <w:left w:val="none" w:sz="0" w:space="0" w:color="auto"/>
            <w:bottom w:val="none" w:sz="0" w:space="0" w:color="auto"/>
            <w:right w:val="none" w:sz="0" w:space="0" w:color="auto"/>
          </w:divBdr>
        </w:div>
        <w:div w:id="58395437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2022-01-27T03:22:00Z</dcterms:modified>
</cp:coreProperties>
</file>