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>1、文件出台背景和依据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2021年是实施“十四五”规划的开局之年，是我市现代化建设进程中具有特殊重要性的一年。2021年4月9日，国务院办公厅印发《2021年政务公开工作要点》(国办发〔2021〕12号)，2021年6月1日，省政府办公厅印发《2021年河南省政务公开工作要点》（豫政办〔2021〕26号）。市政府办公室按照国务院办公厅、省政府办公厅2021年政务公开工作要点的要求，结合我市实际，制定了《南阳市2021年政务公开工作要点》（以下简称《要点》）。经市政府同意，以南阳市人民政府办公室名义印发，并转各县区、各部门贯彻落实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2、主要内容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《要点》共分为5个方面内容、19项工作任务，主要包括：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第一部分为聚焦政策落实，深化重点领域信息公开。包括做好各类规划主动公开、做好市场规则标准和监管执法信息公开、做好财政信息公开、做好常态化疫情防控信息公开。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第二部分为强化政策解读，积极回应社会关切。包括深入推进重大政策措施解读工作、积极开展多样化的政策解读、明确政策解读着力点、切实提升回应关切效果。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第三部分为加强平台</w:t>
      </w: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>建设，切实抓好基础基层。包括全面推进规章统一公开、稳步推进政府网站集约化建设、如期完成县级以上政府门户网站IPV6改造、完善政务公开平台、加强政务新媒体管理、推进基层政务公开标准化规范化、全面推进政务公开专区建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第四部分为全面落实政府信息公开条例。主要涉及规范依申请公开工作。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"/>
        </w:rPr>
        <w:t xml:space="preserve">  第五部分为加强组织保障，不断提升工作质量。包括切实加强队伍建设、不断改进工作作风、狠抓任务落实。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2">
    <w:name w:val="disabled"/>
    <w:basedOn w:val="3"/>
    <w:uiPriority w:val="0"/>
    <w:rPr>
      <w:color w:val="DDDDDD"/>
      <w:bdr w:val="single" w:color="EEEEEE" w:sz="6" w:space="0"/>
    </w:rPr>
  </w:style>
  <w:style w:type="character" w:customStyle="1" w:styleId="13">
    <w:name w:val="prev1"/>
    <w:basedOn w:val="3"/>
    <w:uiPriority w:val="0"/>
    <w:rPr>
      <w:shd w:val="clear" w:fill="336699"/>
    </w:rPr>
  </w:style>
  <w:style w:type="character" w:customStyle="1" w:styleId="14">
    <w:name w:val="current"/>
    <w:basedOn w:val="3"/>
    <w:uiPriority w:val="0"/>
    <w:rPr>
      <w:b/>
      <w:bCs/>
      <w:color w:val="FFFFFF"/>
      <w:bdr w:val="single" w:color="000099" w:sz="6" w:space="0"/>
      <w:shd w:val="clear" w:fill="000099"/>
    </w:rPr>
  </w:style>
  <w:style w:type="character" w:customStyle="1" w:styleId="15">
    <w:name w:val="next3"/>
    <w:basedOn w:val="3"/>
    <w:uiPriority w:val="0"/>
    <w:rPr>
      <w:shd w:val="clear" w:fill="FF0000"/>
    </w:rPr>
  </w:style>
  <w:style w:type="character" w:customStyle="1" w:styleId="16">
    <w:name w:val="prev21"/>
    <w:basedOn w:val="3"/>
    <w:uiPriority w:val="0"/>
    <w:rPr>
      <w:shd w:val="clear" w:fill="336699"/>
    </w:rPr>
  </w:style>
  <w:style w:type="character" w:customStyle="1" w:styleId="17">
    <w:name w:val="next11"/>
    <w:basedOn w:val="3"/>
    <w:uiPriority w:val="0"/>
    <w:rPr>
      <w:shd w:val="clear" w:fill="FF0000"/>
    </w:rPr>
  </w:style>
  <w:style w:type="character" w:customStyle="1" w:styleId="18">
    <w:name w:val="next21"/>
    <w:basedOn w:val="3"/>
    <w:uiPriority w:val="0"/>
    <w:rPr>
      <w:shd w:val="clear" w:fill="FF0000"/>
    </w:rPr>
  </w:style>
  <w:style w:type="character" w:customStyle="1" w:styleId="19">
    <w:name w:val="prev31"/>
    <w:basedOn w:val="3"/>
    <w:uiPriority w:val="0"/>
    <w:rPr>
      <w:shd w:val="clear" w:fill="3366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2021-12-28T03:21:19Z</dcterms:created>
  <dc:creator>Administrator</dc:creator>
  <cp:lastModifiedBy>齐</cp:lastModifiedBy>
  <dcterms:modified xsi:type="dcterms:W3CDTF">2021-12-28T03:21:37Z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211E95385900466CAF5F0AB74258E8F0</vt:lpwstr>
  </property>
</Properties>
</file>