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rPr>
          <w:rFonts w:hint="eastAsia" w:ascii="宋体" w:hAnsi="宋体" w:cs="黑体"/>
          <w:b/>
          <w:sz w:val="52"/>
          <w:szCs w:val="52"/>
        </w:rPr>
      </w:pPr>
      <w:r>
        <w:rPr>
          <w:rFonts w:hint="eastAsia" w:ascii="宋体" w:hAnsi="宋体" w:cs="黑体"/>
          <w:b/>
          <w:sz w:val="52"/>
          <w:szCs w:val="52"/>
        </w:rPr>
        <w:t>20</w:t>
      </w:r>
      <w:r>
        <w:rPr>
          <w:rFonts w:hint="eastAsia" w:cs="黑体"/>
          <w:b/>
          <w:sz w:val="52"/>
          <w:szCs w:val="52"/>
          <w:lang w:val="en-US" w:eastAsia="zh-CN"/>
        </w:rPr>
        <w:t>20</w:t>
      </w:r>
      <w:r>
        <w:rPr>
          <w:rFonts w:hint="eastAsia" w:ascii="宋体" w:hAnsi="宋体" w:cs="黑体"/>
          <w:b/>
          <w:sz w:val="52"/>
          <w:szCs w:val="52"/>
        </w:rPr>
        <w:t>年度</w:t>
      </w:r>
    </w:p>
    <w:p>
      <w:pPr>
        <w:jc w:val="center"/>
        <w:rPr>
          <w:rFonts w:hint="eastAsia" w:ascii="宋体" w:hAnsi="宋体" w:eastAsia="宋体" w:cs="黑体"/>
          <w:b/>
          <w:sz w:val="52"/>
          <w:szCs w:val="52"/>
          <w:lang w:val="en-US" w:eastAsia="zh-CN"/>
        </w:rPr>
      </w:pPr>
      <w:r>
        <w:rPr>
          <w:rFonts w:hint="eastAsia" w:ascii="宋体" w:hAnsi="宋体" w:cs="黑体"/>
          <w:b/>
          <w:sz w:val="52"/>
          <w:szCs w:val="52"/>
        </w:rPr>
        <w:t>人大部门决算</w:t>
      </w:r>
      <w:r>
        <w:rPr>
          <w:rFonts w:hint="eastAsia" w:cs="黑体"/>
          <w:b/>
          <w:sz w:val="52"/>
          <w:szCs w:val="52"/>
          <w:lang w:val="en-US" w:eastAsia="zh-CN"/>
        </w:rPr>
        <w:t>公开</w:t>
      </w:r>
    </w:p>
    <w:p>
      <w:pPr>
        <w:jc w:val="center"/>
        <w:rPr>
          <w:rFonts w:hint="eastAsia" w:ascii="宋体" w:hAnsi="宋体" w:cs="黑体"/>
          <w:b/>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32"/>
          <w:szCs w:val="32"/>
        </w:rPr>
        <w:sectPr>
          <w:headerReference r:id="rId5" w:type="default"/>
          <w:pgSz w:w="11906" w:h="16838"/>
          <w:pgMar w:top="1440" w:right="1531" w:bottom="1440" w:left="1587" w:header="850" w:footer="992" w:gutter="0"/>
          <w:pgBorders>
            <w:top w:val="none" w:sz="0" w:space="0"/>
            <w:left w:val="none" w:sz="0" w:space="0"/>
            <w:bottom w:val="none" w:sz="0" w:space="0"/>
            <w:right w:val="none" w:sz="0" w:space="0"/>
          </w:pgBorders>
          <w:pgNumType w:fmt="numberInDash"/>
          <w:cols w:space="720" w:num="1"/>
          <w:docGrid w:type="lines" w:linePitch="317" w:charSpace="0"/>
        </w:sectPr>
      </w:pPr>
      <w:r>
        <w:rPr>
          <w:rFonts w:hint="eastAsia" w:ascii="黑体" w:hAnsi="黑体" w:eastAsia="黑体" w:cs="黑体"/>
          <w:sz w:val="32"/>
          <w:szCs w:val="32"/>
        </w:rPr>
        <w:t>二〇二</w:t>
      </w:r>
      <w:r>
        <w:rPr>
          <w:rFonts w:hint="eastAsia" w:ascii="黑体" w:hAnsi="黑体" w:eastAsia="黑体" w:cs="黑体"/>
          <w:sz w:val="32"/>
          <w:szCs w:val="32"/>
          <w:lang w:val="en-US" w:eastAsia="zh-CN"/>
        </w:rPr>
        <w:t>一</w:t>
      </w:r>
      <w:r>
        <w:rPr>
          <w:rFonts w:hint="eastAsia" w:ascii="黑体" w:hAnsi="黑体" w:eastAsia="黑体" w:cs="黑体"/>
          <w:sz w:val="32"/>
          <w:szCs w:val="32"/>
        </w:rPr>
        <w:t>年</w:t>
      </w:r>
      <w:r>
        <w:rPr>
          <w:rFonts w:hint="eastAsia" w:ascii="黑体" w:hAnsi="黑体" w:eastAsia="黑体" w:cs="黑体"/>
          <w:sz w:val="32"/>
          <w:szCs w:val="32"/>
          <w:lang w:val="en-US" w:eastAsia="zh-CN"/>
        </w:rPr>
        <w:t>十一</w:t>
      </w:r>
      <w:bookmarkStart w:id="11" w:name="_GoBack"/>
      <w:bookmarkEnd w:id="11"/>
      <w:r>
        <w:rPr>
          <w:rFonts w:hint="eastAsia" w:ascii="黑体" w:hAnsi="黑体" w:eastAsia="黑体" w:cs="黑体"/>
          <w:sz w:val="32"/>
          <w:szCs w:val="32"/>
        </w:rPr>
        <w:t>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唐河县人大概况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部门职责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w:t>
      </w:r>
      <w:r>
        <w:rPr>
          <w:rFonts w:hint="eastAsia" w:ascii="黑体" w:hAnsi="黑体" w:eastAsia="黑体" w:cs="黑体"/>
          <w:sz w:val="32"/>
          <w:szCs w:val="32"/>
          <w:lang w:val="en-US" w:eastAsia="zh-CN"/>
        </w:rPr>
        <w:t>2020</w:t>
      </w:r>
      <w:r>
        <w:rPr>
          <w:rFonts w:hint="eastAsia" w:ascii="黑体" w:hAnsi="黑体" w:eastAsia="黑体" w:cs="黑体"/>
          <w:sz w:val="32"/>
          <w:szCs w:val="32"/>
        </w:rPr>
        <w:t>年度部门决算表</w:t>
      </w:r>
    </w:p>
    <w:p>
      <w:pPr>
        <w:ind w:firstLine="640" w:firstLineChars="200"/>
        <w:jc w:val="left"/>
        <w:rPr>
          <w:rFonts w:ascii="宋体" w:hAnsi="宋体" w:cs="宋体"/>
          <w:sz w:val="32"/>
          <w:szCs w:val="32"/>
        </w:rPr>
      </w:pPr>
      <w:r>
        <w:rPr>
          <w:rFonts w:hint="eastAsia" w:ascii="宋体" w:hAnsi="宋体" w:cs="宋体"/>
          <w:sz w:val="32"/>
          <w:szCs w:val="32"/>
        </w:rPr>
        <w:t>一、收入支出决算总表</w:t>
      </w:r>
    </w:p>
    <w:p>
      <w:pPr>
        <w:ind w:firstLine="640" w:firstLineChars="200"/>
        <w:jc w:val="left"/>
        <w:rPr>
          <w:rFonts w:ascii="宋体" w:hAnsi="宋体" w:cs="宋体"/>
          <w:sz w:val="32"/>
          <w:szCs w:val="32"/>
        </w:rPr>
      </w:pPr>
      <w:r>
        <w:rPr>
          <w:rFonts w:hint="eastAsia" w:ascii="宋体" w:hAnsi="宋体" w:cs="宋体"/>
          <w:sz w:val="32"/>
          <w:szCs w:val="32"/>
        </w:rPr>
        <w:t>二、收入决算表</w:t>
      </w:r>
    </w:p>
    <w:p>
      <w:pPr>
        <w:ind w:firstLine="640" w:firstLineChars="200"/>
        <w:jc w:val="left"/>
        <w:rPr>
          <w:rFonts w:hint="eastAsia" w:ascii="宋体" w:hAnsi="宋体" w:cs="宋体"/>
          <w:sz w:val="32"/>
          <w:szCs w:val="32"/>
        </w:rPr>
      </w:pPr>
      <w:r>
        <w:rPr>
          <w:rFonts w:hint="eastAsia" w:ascii="宋体" w:hAnsi="宋体" w:cs="宋体"/>
          <w:sz w:val="32"/>
          <w:szCs w:val="32"/>
        </w:rPr>
        <w:t>三、支出决算表</w:t>
      </w:r>
    </w:p>
    <w:p>
      <w:pPr>
        <w:ind w:firstLine="640" w:firstLineChars="200"/>
        <w:jc w:val="left"/>
        <w:rPr>
          <w:rFonts w:hint="eastAsia" w:ascii="宋体" w:hAnsi="宋体" w:cs="宋体"/>
          <w:sz w:val="32"/>
          <w:szCs w:val="32"/>
        </w:rPr>
      </w:pPr>
      <w:r>
        <w:rPr>
          <w:rFonts w:hint="eastAsia" w:ascii="宋体" w:hAnsi="宋体" w:cs="宋体"/>
          <w:sz w:val="32"/>
          <w:szCs w:val="32"/>
        </w:rPr>
        <w:t>四、财政拨款收入支出决算总表</w:t>
      </w:r>
    </w:p>
    <w:p>
      <w:pPr>
        <w:ind w:firstLine="640" w:firstLineChars="200"/>
        <w:jc w:val="left"/>
        <w:rPr>
          <w:rFonts w:hint="eastAsia" w:ascii="宋体" w:hAnsi="宋体" w:cs="宋体"/>
          <w:sz w:val="32"/>
          <w:szCs w:val="32"/>
        </w:rPr>
      </w:pPr>
      <w:r>
        <w:rPr>
          <w:rFonts w:hint="eastAsia" w:ascii="宋体" w:hAnsi="宋体" w:cs="宋体"/>
          <w:sz w:val="32"/>
          <w:szCs w:val="32"/>
        </w:rPr>
        <w:t>五、一般公共预算财政拨款支出决算表</w:t>
      </w:r>
    </w:p>
    <w:p>
      <w:pPr>
        <w:ind w:firstLine="640" w:firstLineChars="200"/>
        <w:jc w:val="left"/>
        <w:rPr>
          <w:rFonts w:hint="eastAsia" w:ascii="宋体" w:hAnsi="宋体" w:cs="宋体"/>
          <w:sz w:val="32"/>
          <w:szCs w:val="32"/>
        </w:rPr>
      </w:pPr>
      <w:r>
        <w:rPr>
          <w:rFonts w:hint="eastAsia" w:ascii="宋体" w:hAnsi="宋体" w:cs="宋体"/>
          <w:sz w:val="32"/>
          <w:szCs w:val="32"/>
        </w:rPr>
        <w:t>六、一般公共预算财政拨款基本支出决算表</w:t>
      </w:r>
    </w:p>
    <w:p>
      <w:pPr>
        <w:ind w:firstLine="640" w:firstLineChars="200"/>
        <w:jc w:val="left"/>
        <w:rPr>
          <w:rFonts w:hint="eastAsia" w:ascii="宋体" w:hAnsi="宋体" w:cs="宋体"/>
          <w:sz w:val="32"/>
          <w:szCs w:val="32"/>
        </w:rPr>
      </w:pPr>
      <w:r>
        <w:rPr>
          <w:rFonts w:hint="eastAsia" w:ascii="宋体" w:hAnsi="宋体" w:cs="宋体"/>
          <w:sz w:val="32"/>
          <w:szCs w:val="32"/>
        </w:rPr>
        <w:t>七、一般公共预算财政拨款“三公”经费支出决算表</w:t>
      </w:r>
    </w:p>
    <w:p>
      <w:pPr>
        <w:ind w:firstLine="640" w:firstLineChars="200"/>
        <w:jc w:val="left"/>
        <w:rPr>
          <w:rFonts w:hint="eastAsia" w:ascii="宋体" w:hAnsi="宋体" w:cs="宋体"/>
          <w:sz w:val="32"/>
          <w:szCs w:val="32"/>
        </w:rPr>
      </w:pPr>
      <w:r>
        <w:rPr>
          <w:rFonts w:hint="eastAsia" w:ascii="宋体" w:hAnsi="宋体" w:cs="宋体"/>
          <w:sz w:val="32"/>
          <w:szCs w:val="32"/>
        </w:rPr>
        <w:t>八、政府性基金预算财政拨款收入支出决算表</w:t>
      </w:r>
    </w:p>
    <w:p>
      <w:pPr>
        <w:jc w:val="left"/>
        <w:rPr>
          <w:rFonts w:hint="eastAsia" w:ascii="黑体" w:hAnsi="黑体" w:eastAsia="黑体" w:cs="黑体"/>
          <w:sz w:val="32"/>
          <w:szCs w:val="32"/>
        </w:rPr>
      </w:pPr>
      <w:r>
        <w:rPr>
          <w:rFonts w:hint="eastAsia" w:ascii="黑体" w:hAnsi="黑体" w:eastAsia="黑体" w:cs="黑体"/>
          <w:sz w:val="32"/>
          <w:szCs w:val="32"/>
        </w:rPr>
        <w:t>第三部分　　</w:t>
      </w:r>
      <w:r>
        <w:rPr>
          <w:rFonts w:hint="eastAsia" w:ascii="黑体" w:hAnsi="黑体" w:eastAsia="黑体" w:cs="黑体"/>
          <w:sz w:val="32"/>
          <w:szCs w:val="32"/>
          <w:lang w:val="en-US" w:eastAsia="zh-CN"/>
        </w:rPr>
        <w:t>2020</w:t>
      </w:r>
      <w:r>
        <w:rPr>
          <w:rFonts w:hint="eastAsia" w:ascii="黑体" w:hAnsi="黑体" w:eastAsia="黑体" w:cs="黑体"/>
          <w:sz w:val="32"/>
          <w:szCs w:val="32"/>
        </w:rPr>
        <w:t>年度部门决算情况说明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二、收入决算情况说明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三、支出决算情况说明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八、预算绩效情况说明</w:t>
      </w:r>
    </w:p>
    <w:p>
      <w:pPr>
        <w:ind w:firstLine="640" w:firstLineChars="200"/>
        <w:jc w:val="left"/>
        <w:rPr>
          <w:rFonts w:hint="eastAsia" w:ascii="宋体" w:hAnsi="宋体" w:cs="宋体"/>
          <w:sz w:val="32"/>
          <w:szCs w:val="32"/>
        </w:rPr>
      </w:pPr>
      <w:r>
        <w:rPr>
          <w:rFonts w:hint="eastAsia" w:ascii="宋体" w:hAnsi="宋体" w:cs="宋体"/>
          <w:sz w:val="32"/>
          <w:szCs w:val="32"/>
        </w:rPr>
        <w:t>九、政府性基金预算财政拨款支出决算情况说明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十、机关运行经费支出情况说明</w:t>
      </w:r>
    </w:p>
    <w:p>
      <w:pPr>
        <w:ind w:firstLine="640" w:firstLineChars="200"/>
        <w:jc w:val="left"/>
        <w:rPr>
          <w:rFonts w:hint="eastAsia" w:ascii="宋体" w:hAnsi="宋体" w:cs="宋体"/>
          <w:sz w:val="32"/>
          <w:szCs w:val="32"/>
        </w:rPr>
      </w:pPr>
      <w:r>
        <w:rPr>
          <w:rFonts w:hint="eastAsia" w:ascii="宋体" w:hAnsi="宋体" w:cs="宋体"/>
          <w:sz w:val="32"/>
          <w:szCs w:val="32"/>
        </w:rPr>
        <w:t>十一、政府采购支出情况说明</w:t>
      </w:r>
    </w:p>
    <w:p>
      <w:pPr>
        <w:ind w:firstLine="640" w:firstLineChars="200"/>
        <w:jc w:val="left"/>
        <w:rPr>
          <w:rFonts w:hint="eastAsia" w:ascii="宋体" w:hAnsi="宋体" w:cs="宋体"/>
          <w:sz w:val="32"/>
          <w:szCs w:val="32"/>
        </w:rPr>
      </w:pPr>
      <w:r>
        <w:rPr>
          <w:rFonts w:hint="eastAsia" w:ascii="宋体" w:hAnsi="宋体" w:cs="宋体"/>
          <w:sz w:val="32"/>
          <w:szCs w:val="32"/>
        </w:rPr>
        <w:t>十二、国有资产占用情况说明</w:t>
      </w:r>
    </w:p>
    <w:p>
      <w:pPr>
        <w:jc w:val="left"/>
        <w:rPr>
          <w:rFonts w:hint="eastAsia" w:ascii="黑体" w:hAnsi="黑体" w:eastAsia="黑体" w:cs="黑体"/>
          <w:sz w:val="32"/>
          <w:szCs w:val="32"/>
        </w:rPr>
      </w:pPr>
      <w:r>
        <w:rPr>
          <w:rFonts w:hint="eastAsia" w:ascii="黑体" w:hAnsi="黑体" w:eastAsia="黑体" w:cs="黑体"/>
          <w:sz w:val="32"/>
          <w:szCs w:val="32"/>
        </w:rPr>
        <w:t>第四部分　　名词解释</w:t>
      </w:r>
    </w:p>
    <w:p>
      <w:pPr>
        <w:ind w:firstLine="640" w:firstLineChars="200"/>
        <w:jc w:val="left"/>
        <w:rPr>
          <w:rFonts w:ascii="宋体" w:hAnsi="宋体" w:cs="宋体"/>
          <w:sz w:val="32"/>
          <w:szCs w:val="32"/>
        </w:rPr>
      </w:pPr>
    </w:p>
    <w:p>
      <w:pPr>
        <w:jc w:val="left"/>
        <w:rPr>
          <w:rFonts w:hint="eastAsia" w:ascii="黑体" w:hAnsi="黑体" w:eastAsia="黑体" w:cs="黑体"/>
          <w:sz w:val="32"/>
          <w:szCs w:val="32"/>
        </w:rPr>
        <w:sectPr>
          <w:footerReference r:id="rId6" w:type="default"/>
          <w:footerReference r:id="rId7" w:type="even"/>
          <w:pgSz w:w="11906" w:h="16838"/>
          <w:pgMar w:top="1440" w:right="1531" w:bottom="1440" w:left="1587" w:header="850" w:footer="992" w:gutter="0"/>
          <w:pgBorders>
            <w:top w:val="none" w:sz="0" w:space="0"/>
            <w:left w:val="none" w:sz="0" w:space="0"/>
            <w:bottom w:val="none" w:sz="0" w:space="0"/>
            <w:right w:val="none" w:sz="0" w:space="0"/>
          </w:pgBorders>
          <w:pgNumType w:fmt="numberInDash" w:start="1"/>
          <w:cols w:space="720" w:num="1"/>
          <w:docGrid w:type="lines" w:linePitch="317" w:charSpace="0"/>
        </w:sectPr>
      </w:pPr>
    </w:p>
    <w:p>
      <w:pPr>
        <w:widowControl/>
        <w:numPr>
          <w:ilvl w:val="0"/>
          <w:numId w:val="2"/>
        </w:numPr>
        <w:ind w:firstLine="960" w:firstLineChars="200"/>
        <w:jc w:val="center"/>
        <w:rPr>
          <w:rFonts w:hint="eastAsia" w:ascii="宋体" w:hAnsi="宋体" w:cs="黑体"/>
          <w:sz w:val="48"/>
          <w:szCs w:val="48"/>
        </w:rPr>
      </w:pPr>
    </w:p>
    <w:p>
      <w:pPr>
        <w:widowControl/>
        <w:numPr>
          <w:ilvl w:val="0"/>
          <w:numId w:val="0"/>
        </w:numPr>
        <w:ind w:leftChars="200" w:right="0" w:rightChars="0"/>
        <w:jc w:val="center"/>
        <w:rPr>
          <w:rFonts w:hint="eastAsia" w:ascii="宋体" w:hAnsi="宋体" w:cs="黑体"/>
          <w:sz w:val="48"/>
          <w:szCs w:val="48"/>
        </w:rPr>
      </w:pPr>
      <w:r>
        <w:rPr>
          <w:rFonts w:hint="eastAsia" w:ascii="宋体" w:hAnsi="宋体" w:cs="黑体"/>
          <w:sz w:val="48"/>
          <w:szCs w:val="48"/>
        </w:rPr>
        <w:t>唐河县人大概况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宋体" w:hAnsi="宋体" w:cs="黑体"/>
          <w:kern w:val="2"/>
          <w:sz w:val="32"/>
          <w:szCs w:val="32"/>
        </w:rPr>
      </w:pPr>
      <w:r>
        <w:rPr>
          <w:rFonts w:hint="eastAsia" w:ascii="宋体" w:hAnsi="宋体" w:cs="黑体"/>
          <w:kern w:val="2"/>
          <w:sz w:val="32"/>
          <w:szCs w:val="32"/>
        </w:rPr>
        <w:t>一、 主要职责</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ascii="仿宋" w:hAnsi="仿宋" w:eastAsia="仿宋"/>
          <w:b/>
          <w:kern w:val="2"/>
          <w:sz w:val="32"/>
          <w:szCs w:val="32"/>
        </w:rPr>
      </w:pPr>
      <w:r>
        <w:rPr>
          <w:rFonts w:hint="eastAsia" w:ascii="仿宋" w:hAnsi="仿宋" w:eastAsia="仿宋"/>
          <w:kern w:val="2"/>
          <w:sz w:val="32"/>
          <w:szCs w:val="32"/>
        </w:rPr>
        <w:t>（一）保证宪法、法律、行政法规和上级人民代表大会及其常务委员会决议的遵守和执行；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kern w:val="2"/>
          <w:sz w:val="32"/>
          <w:szCs w:val="32"/>
        </w:rPr>
      </w:pPr>
      <w:r>
        <w:rPr>
          <w:rFonts w:hint="eastAsia" w:ascii="仿宋" w:hAnsi="仿宋" w:eastAsia="仿宋"/>
          <w:kern w:val="2"/>
          <w:sz w:val="32"/>
          <w:szCs w:val="32"/>
        </w:rPr>
        <w:t>（二）领导或者主持本级人民代表大会代表的选举；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kern w:val="2"/>
          <w:sz w:val="32"/>
          <w:szCs w:val="32"/>
        </w:rPr>
      </w:pPr>
      <w:r>
        <w:rPr>
          <w:rFonts w:hint="eastAsia" w:ascii="仿宋" w:hAnsi="仿宋" w:eastAsia="仿宋"/>
          <w:kern w:val="2"/>
          <w:sz w:val="32"/>
          <w:szCs w:val="32"/>
        </w:rPr>
        <w:t>（三）召集本级人民代表大会会议；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kern w:val="2"/>
          <w:sz w:val="32"/>
          <w:szCs w:val="32"/>
        </w:rPr>
      </w:pPr>
      <w:r>
        <w:rPr>
          <w:rFonts w:hint="eastAsia" w:ascii="仿宋" w:hAnsi="仿宋" w:eastAsia="仿宋"/>
          <w:kern w:val="2"/>
          <w:sz w:val="32"/>
          <w:szCs w:val="32"/>
        </w:rPr>
        <w:t>（四）讨论、决定本县的政治、经济、教育、科学、文化、卫生、环境和资源保护、民政、民族等工作的重大事项；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kern w:val="2"/>
          <w:sz w:val="32"/>
          <w:szCs w:val="32"/>
        </w:rPr>
      </w:pPr>
      <w:r>
        <w:rPr>
          <w:rFonts w:hint="eastAsia" w:ascii="仿宋" w:hAnsi="仿宋" w:eastAsia="仿宋"/>
          <w:kern w:val="2"/>
          <w:sz w:val="32"/>
          <w:szCs w:val="32"/>
        </w:rPr>
        <w:t>（五）根据县人民政府的建议，决定对本县国民经济和社会发展计划、预算的部分变更；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kern w:val="2"/>
          <w:sz w:val="32"/>
          <w:szCs w:val="32"/>
        </w:rPr>
      </w:pPr>
      <w:r>
        <w:rPr>
          <w:rFonts w:hint="eastAsia" w:ascii="仿宋" w:hAnsi="仿宋" w:eastAsia="仿宋"/>
          <w:kern w:val="2"/>
          <w:sz w:val="32"/>
          <w:szCs w:val="32"/>
        </w:rPr>
        <w:t>（六）监督县人民政府、县人民法院和县人民检察院的工作，联系县人民代表大会代表、受理人民群众对上述机关和国家工作人员的申诉和意见；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kern w:val="2"/>
          <w:sz w:val="32"/>
          <w:szCs w:val="32"/>
        </w:rPr>
      </w:pPr>
      <w:r>
        <w:rPr>
          <w:rFonts w:hint="eastAsia" w:ascii="仿宋" w:hAnsi="仿宋" w:eastAsia="仿宋"/>
          <w:kern w:val="2"/>
          <w:sz w:val="32"/>
          <w:szCs w:val="32"/>
        </w:rPr>
        <w:t>（七）在本级人民代表大会闭会期间，补选上一级人民代表大会出缺的代表和罢免个别代表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outlineLvl w:val="1"/>
        <w:rPr>
          <w:rFonts w:ascii="宋体" w:hAnsi="宋体" w:cs="黑体"/>
          <w:kern w:val="2"/>
          <w:sz w:val="32"/>
          <w:szCs w:val="32"/>
        </w:rPr>
      </w:pPr>
      <w:r>
        <w:rPr>
          <w:rFonts w:hint="eastAsia" w:ascii="宋体" w:hAnsi="宋体" w:cs="黑体"/>
          <w:kern w:val="2"/>
          <w:sz w:val="32"/>
          <w:szCs w:val="32"/>
        </w:rPr>
        <w:t xml:space="preserve">二、 </w:t>
      </w:r>
      <w:r>
        <w:rPr>
          <w:rFonts w:ascii="宋体" w:hAnsi="宋体" w:cs="黑体"/>
          <w:kern w:val="2"/>
          <w:sz w:val="32"/>
          <w:szCs w:val="32"/>
        </w:rPr>
        <w:t>机构设置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kern w:val="2"/>
          <w:sz w:val="32"/>
          <w:szCs w:val="32"/>
        </w:rPr>
      </w:pPr>
      <w:r>
        <w:rPr>
          <w:rFonts w:hint="eastAsia" w:ascii="仿宋" w:hAnsi="仿宋" w:eastAsia="仿宋"/>
          <w:kern w:val="2"/>
          <w:sz w:val="32"/>
          <w:szCs w:val="32"/>
        </w:rPr>
        <w:t>单位位于行政中心，属正县级行政单位，内设八委一办一室，分别是：办公室、法工委、农工委、选工委、环资委、内司委、教科文卫委、预算工委、财经工委、信访室；下设事业单位两个，分别是人大常委会办公室机关事务管理科、信息服务中心，现有在职人员</w:t>
      </w:r>
      <w:r>
        <w:rPr>
          <w:rFonts w:hint="eastAsia" w:ascii="仿宋" w:hAnsi="仿宋" w:eastAsia="仿宋"/>
          <w:kern w:val="2"/>
          <w:sz w:val="32"/>
          <w:szCs w:val="32"/>
          <w:lang w:val="en-US" w:eastAsia="zh-CN"/>
        </w:rPr>
        <w:t>49</w:t>
      </w:r>
      <w:r>
        <w:rPr>
          <w:rFonts w:hint="eastAsia" w:ascii="仿宋" w:hAnsi="仿宋" w:eastAsia="仿宋"/>
          <w:kern w:val="2"/>
          <w:sz w:val="32"/>
          <w:szCs w:val="32"/>
        </w:rPr>
        <w:t>人，退休人员51人。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kern w:val="2"/>
          <w:sz w:val="32"/>
          <w:szCs w:val="32"/>
        </w:rPr>
      </w:pPr>
      <w:r>
        <w:rPr>
          <w:rFonts w:ascii="仿宋" w:hAnsi="仿宋" w:eastAsia="仿宋"/>
          <w:kern w:val="2"/>
          <w:sz w:val="32"/>
          <w:szCs w:val="32"/>
        </w:rPr>
        <w:t>单位地址：唐河县人大常委会位于唐河县北京大道行政中心。</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_GB2312"/>
          <w:kern w:val="2"/>
          <w:sz w:val="32"/>
          <w:szCs w:val="36"/>
        </w:rPr>
        <w:sectPr>
          <w:pgSz w:w="11906" w:h="16838"/>
          <w:pgMar w:top="1440" w:right="1689" w:bottom="1440" w:left="1689" w:header="720" w:footer="720" w:gutter="0"/>
          <w:pgBorders>
            <w:top w:val="none" w:sz="0" w:space="0"/>
            <w:left w:val="none" w:sz="0" w:space="0"/>
            <w:bottom w:val="none" w:sz="0" w:space="0"/>
            <w:right w:val="none" w:sz="0" w:space="0"/>
          </w:pgBorders>
          <w:pgNumType w:fmt="numberInDash"/>
          <w:cols w:space="720" w:num="1"/>
          <w:docGrid w:type="lines" w:linePitch="312" w:charSpace="0"/>
        </w:sectPr>
      </w:pPr>
      <w:r>
        <w:rPr>
          <w:rFonts w:hint="eastAsia" w:ascii="仿宋" w:hAnsi="仿宋" w:eastAsia="仿宋" w:cs="仿宋_GB2312"/>
          <w:kern w:val="2"/>
          <w:sz w:val="32"/>
          <w:szCs w:val="36"/>
        </w:rPr>
        <w:t>本决算包括本级决算和所属单位决算在内的汇总决算。</w:t>
      </w:r>
    </w:p>
    <w:p>
      <w:pPr>
        <w:jc w:val="center"/>
        <w:outlineLvl w:val="0"/>
        <w:rPr>
          <w:rFonts w:hint="eastAsia" w:ascii="宋体" w:hAnsi="宋体" w:cs="黑体"/>
          <w:sz w:val="48"/>
          <w:szCs w:val="48"/>
        </w:rPr>
      </w:pPr>
    </w:p>
    <w:p>
      <w:pPr>
        <w:jc w:val="center"/>
        <w:outlineLvl w:val="0"/>
        <w:rPr>
          <w:rFonts w:hint="eastAsia" w:ascii="宋体" w:hAnsi="宋体" w:cs="黑体"/>
          <w:sz w:val="48"/>
          <w:szCs w:val="48"/>
        </w:rPr>
      </w:pPr>
    </w:p>
    <w:p>
      <w:pPr>
        <w:jc w:val="center"/>
        <w:outlineLvl w:val="0"/>
        <w:rPr>
          <w:rFonts w:hint="eastAsia" w:ascii="宋体" w:hAnsi="宋体" w:cs="黑体"/>
          <w:sz w:val="48"/>
          <w:szCs w:val="48"/>
        </w:rPr>
      </w:pPr>
    </w:p>
    <w:p>
      <w:pPr>
        <w:jc w:val="center"/>
        <w:outlineLvl w:val="0"/>
        <w:rPr>
          <w:rFonts w:hint="eastAsia" w:ascii="宋体" w:hAnsi="宋体" w:cs="黑体"/>
          <w:sz w:val="48"/>
          <w:szCs w:val="48"/>
        </w:rPr>
      </w:pPr>
    </w:p>
    <w:p>
      <w:pPr>
        <w:jc w:val="center"/>
        <w:outlineLvl w:val="0"/>
        <w:rPr>
          <w:rFonts w:hint="eastAsia" w:ascii="宋体" w:hAnsi="宋体" w:cs="黑体"/>
          <w:sz w:val="48"/>
          <w:szCs w:val="48"/>
        </w:rPr>
      </w:pPr>
    </w:p>
    <w:p>
      <w:pPr>
        <w:jc w:val="center"/>
        <w:outlineLvl w:val="0"/>
        <w:rPr>
          <w:rFonts w:hint="eastAsia" w:ascii="宋体" w:hAnsi="宋体" w:cs="黑体"/>
          <w:sz w:val="48"/>
          <w:szCs w:val="48"/>
        </w:rPr>
      </w:pPr>
    </w:p>
    <w:p>
      <w:pPr>
        <w:jc w:val="center"/>
        <w:outlineLvl w:val="0"/>
        <w:rPr>
          <w:rFonts w:hint="eastAsia" w:ascii="宋体" w:hAnsi="宋体" w:cs="黑体"/>
          <w:sz w:val="48"/>
          <w:szCs w:val="48"/>
        </w:rPr>
      </w:pPr>
    </w:p>
    <w:p>
      <w:pPr>
        <w:jc w:val="center"/>
        <w:outlineLvl w:val="0"/>
        <w:rPr>
          <w:rFonts w:hint="eastAsia" w:ascii="宋体" w:hAnsi="宋体" w:cs="黑体"/>
          <w:sz w:val="48"/>
          <w:szCs w:val="48"/>
        </w:rPr>
      </w:pPr>
    </w:p>
    <w:p>
      <w:pPr>
        <w:jc w:val="center"/>
        <w:outlineLvl w:val="0"/>
        <w:rPr>
          <w:rFonts w:hint="eastAsia" w:ascii="黑体" w:hAnsi="宋体" w:eastAsia="宋体" w:cs="宋体"/>
          <w:kern w:val="0"/>
          <w:sz w:val="28"/>
          <w:szCs w:val="28"/>
          <w:lang w:val="en-US" w:eastAsia="zh-CN"/>
        </w:rPr>
        <w:sectPr>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r>
        <w:rPr>
          <w:rFonts w:hint="eastAsia" w:ascii="宋体" w:hAnsi="宋体" w:cs="黑体"/>
          <w:sz w:val="48"/>
          <w:szCs w:val="48"/>
        </w:rPr>
        <w:t xml:space="preserve">第二部分  </w:t>
      </w:r>
      <w:r>
        <w:rPr>
          <w:rFonts w:hint="eastAsia" w:cs="黑体"/>
          <w:sz w:val="48"/>
          <w:szCs w:val="48"/>
          <w:lang w:val="en-US" w:eastAsia="zh-CN"/>
        </w:rPr>
        <w:t>2020</w:t>
      </w:r>
      <w:r>
        <w:rPr>
          <w:rFonts w:hint="eastAsia" w:ascii="宋体" w:hAnsi="宋体" w:cs="黑体"/>
          <w:sz w:val="48"/>
          <w:szCs w:val="48"/>
        </w:rPr>
        <w:t>年度部门决</w:t>
      </w:r>
      <w:r>
        <w:rPr>
          <w:rFonts w:hint="eastAsia" w:cs="黑体"/>
          <w:sz w:val="48"/>
          <w:szCs w:val="48"/>
          <w:lang w:val="en-US" w:eastAsia="zh-CN"/>
        </w:rPr>
        <w:t>算</w:t>
      </w:r>
    </w:p>
    <w:tbl>
      <w:tblPr>
        <w:tblStyle w:val="6"/>
        <w:tblW w:w="140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519"/>
        <w:gridCol w:w="815"/>
        <w:gridCol w:w="1873"/>
        <w:gridCol w:w="3990"/>
        <w:gridCol w:w="815"/>
        <w:gridCol w:w="20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14044"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30"/>
                <w:szCs w:val="30"/>
                <w:u w:val="none"/>
                <w:lang w:val="en-US" w:eastAsia="zh-CN" w:bidi="ar"/>
              </w:rPr>
            </w:pPr>
          </w:p>
          <w:p>
            <w:pPr>
              <w:keepNext w:val="0"/>
              <w:keepLines w:val="0"/>
              <w:widowControl/>
              <w:suppressLineNumbers w:val="0"/>
              <w:jc w:val="center"/>
              <w:textAlignment w:val="center"/>
              <w:rPr>
                <w:rFonts w:ascii="黑体" w:hAnsi="宋体" w:eastAsia="黑体" w:cs="黑体"/>
                <w:i w:val="0"/>
                <w:iCs w:val="0"/>
                <w:color w:val="000000"/>
                <w:sz w:val="30"/>
                <w:szCs w:val="30"/>
                <w:u w:val="none"/>
              </w:rPr>
            </w:pPr>
            <w:r>
              <w:rPr>
                <w:rFonts w:hint="eastAsia" w:ascii="黑体" w:hAnsi="宋体" w:eastAsia="黑体" w:cs="黑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nil"/>
              <w:left w:val="nil"/>
              <w:bottom w:val="single" w:color="auto"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部门：唐河县人大</w:t>
            </w:r>
            <w:r>
              <w:rPr>
                <w:rFonts w:hint="eastAsia" w:cs="宋体"/>
                <w:i w:val="0"/>
                <w:iCs w:val="0"/>
                <w:color w:val="000000"/>
                <w:kern w:val="0"/>
                <w:sz w:val="22"/>
                <w:szCs w:val="22"/>
                <w:u w:val="none"/>
                <w:lang w:val="en-US" w:eastAsia="zh-CN" w:bidi="ar"/>
              </w:rPr>
              <w:t>常委会</w:t>
            </w:r>
          </w:p>
        </w:tc>
        <w:tc>
          <w:tcPr>
            <w:tcW w:w="0" w:type="auto"/>
            <w:tcBorders>
              <w:top w:val="nil"/>
              <w:left w:val="nil"/>
              <w:bottom w:val="single" w:color="auto"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2020年度</w:t>
            </w:r>
          </w:p>
        </w:tc>
        <w:tc>
          <w:tcPr>
            <w:tcW w:w="0" w:type="auto"/>
            <w:tcBorders>
              <w:top w:val="nil"/>
              <w:left w:val="nil"/>
              <w:bottom w:val="single" w:color="auto" w:sz="4" w:space="0"/>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single" w:color="auto"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auto"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收入</w:t>
            </w:r>
          </w:p>
        </w:tc>
        <w:tc>
          <w:tcPr>
            <w:tcW w:w="0" w:type="auto"/>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一、一般公共预算财政拨款收入</w:t>
            </w:r>
          </w:p>
        </w:tc>
        <w:tc>
          <w:tcPr>
            <w:tcW w:w="0" w:type="auto"/>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9,621,316.80</w:t>
            </w:r>
          </w:p>
        </w:tc>
        <w:tc>
          <w:tcPr>
            <w:tcW w:w="0" w:type="auto"/>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0" w:type="auto"/>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0" w:type="auto"/>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9,621,316.80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四、上级补助收入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五、事业收入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六、经营收入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七、附属单位上缴收入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八、其他收入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bl>
    <w:p>
      <w:pPr>
        <w:spacing w:after="0"/>
        <w:jc w:val="both"/>
        <w:rPr>
          <w:rFonts w:hint="eastAsia" w:ascii="Times New Roman" w:eastAsia="宋体"/>
          <w:sz w:val="20"/>
          <w:lang w:eastAsia="zh-CN"/>
        </w:rPr>
      </w:pPr>
    </w:p>
    <w:p>
      <w:pPr>
        <w:spacing w:after="0"/>
        <w:jc w:val="both"/>
        <w:rPr>
          <w:rFonts w:hint="eastAsia" w:ascii="Times New Roman" w:eastAsia="宋体"/>
          <w:sz w:val="20"/>
          <w:lang w:eastAsia="zh-CN"/>
        </w:rPr>
      </w:pPr>
    </w:p>
    <w:p>
      <w:pPr>
        <w:spacing w:after="0"/>
        <w:jc w:val="both"/>
        <w:rPr>
          <w:rFonts w:hint="eastAsia" w:ascii="Times New Roman" w:eastAsia="宋体"/>
          <w:sz w:val="20"/>
          <w:lang w:eastAsia="zh-CN"/>
        </w:rPr>
      </w:pPr>
    </w:p>
    <w:p>
      <w:pPr>
        <w:spacing w:after="0"/>
        <w:jc w:val="both"/>
        <w:rPr>
          <w:rFonts w:hint="eastAsia" w:ascii="Times New Roman" w:eastAsia="宋体"/>
          <w:sz w:val="20"/>
          <w:lang w:eastAsia="zh-CN"/>
        </w:rPr>
      </w:pPr>
    </w:p>
    <w:p>
      <w:pPr>
        <w:spacing w:after="0"/>
        <w:jc w:val="both"/>
        <w:rPr>
          <w:rFonts w:hint="eastAsia" w:ascii="Times New Roman" w:eastAsia="宋体"/>
          <w:sz w:val="20"/>
          <w:lang w:eastAsia="zh-CN"/>
        </w:rPr>
      </w:pPr>
    </w:p>
    <w:p>
      <w:pPr>
        <w:spacing w:after="0"/>
        <w:jc w:val="both"/>
        <w:rPr>
          <w:rFonts w:hint="eastAsia" w:ascii="Times New Roman" w:eastAsia="宋体"/>
          <w:sz w:val="20"/>
          <w:lang w:eastAsia="zh-CN"/>
        </w:rPr>
      </w:pPr>
    </w:p>
    <w:tbl>
      <w:tblPr>
        <w:tblStyle w:val="6"/>
        <w:tblW w:w="140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207"/>
        <w:gridCol w:w="569"/>
        <w:gridCol w:w="2246"/>
        <w:gridCol w:w="4207"/>
        <w:gridCol w:w="569"/>
        <w:gridCol w:w="22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420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224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2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5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224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0" w:type="auto"/>
            <w:tcBorders>
              <w:top w:val="single" w:color="auto"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0" w:type="auto"/>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0" w:type="auto"/>
            <w:tcBorders>
              <w:top w:val="single" w:color="auto"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9,621,316.80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9,621,316.80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使用非财政拨款结余</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结余分配</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年初结转和结余</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年末结转和结余</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0" w:type="auto"/>
            <w:tcBorders>
              <w:top w:val="nil"/>
              <w:left w:val="nil"/>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9,621,316.80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9,621,316.80</w:t>
            </w:r>
          </w:p>
        </w:tc>
      </w:tr>
    </w:tbl>
    <w:p>
      <w:pPr>
        <w:spacing w:after="0"/>
        <w:jc w:val="both"/>
        <w:rPr>
          <w:rFonts w:hint="eastAsia" w:ascii="Times New Roman" w:eastAsia="宋体"/>
          <w:sz w:val="20"/>
          <w:lang w:eastAsia="zh-CN"/>
        </w:rPr>
      </w:pPr>
    </w:p>
    <w:p>
      <w:pPr>
        <w:spacing w:after="0"/>
        <w:ind w:firstLine="200" w:firstLineChars="100"/>
        <w:jc w:val="both"/>
        <w:rPr>
          <w:rFonts w:hint="eastAsia" w:ascii="Times New Roman" w:eastAsia="宋体"/>
          <w:sz w:val="20"/>
          <w:lang w:eastAsia="zh-CN"/>
        </w:rPr>
        <w:sectPr>
          <w:footerReference r:id="rId8" w:type="default"/>
          <w:type w:val="continuous"/>
          <w:pgSz w:w="16840" w:h="11910" w:orient="landscape"/>
          <w:pgMar w:top="1580" w:right="1280" w:bottom="280" w:left="1300" w:header="720" w:footer="720" w:gutter="0"/>
          <w:pgBorders>
            <w:top w:val="none" w:sz="0" w:space="0"/>
            <w:left w:val="none" w:sz="0" w:space="0"/>
            <w:bottom w:val="none" w:sz="0" w:space="0"/>
            <w:right w:val="none" w:sz="0" w:space="0"/>
          </w:pgBorders>
          <w:cols w:space="720" w:num="1"/>
        </w:sectPr>
      </w:pPr>
      <w:r>
        <w:rPr>
          <w:rFonts w:hint="eastAsia" w:ascii="Times New Roman" w:eastAsia="宋体"/>
          <w:sz w:val="20"/>
          <w:lang w:eastAsia="zh-CN"/>
        </w:rPr>
        <w:t>注：本表反映部门本年度的总收支和年末结转结余情况。本套报表金额单位转换时可能存在尾数误差。</w:t>
      </w:r>
    </w:p>
    <w:p>
      <w:pPr>
        <w:spacing w:before="0" w:line="240" w:lineRule="auto"/>
        <w:rPr>
          <w:sz w:val="20"/>
        </w:rPr>
      </w:pPr>
    </w:p>
    <w:p>
      <w:pPr>
        <w:spacing w:before="0" w:line="240" w:lineRule="auto"/>
        <w:rPr>
          <w:sz w:val="20"/>
        </w:rPr>
      </w:pPr>
    </w:p>
    <w:tbl>
      <w:tblPr>
        <w:tblStyle w:val="6"/>
        <w:tblpPr w:leftFromText="180" w:rightFromText="180" w:vertAnchor="text" w:horzAnchor="page" w:tblpXSpec="center" w:tblpY="267"/>
        <w:tblOverlap w:val="never"/>
        <w:tblW w:w="138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908"/>
        <w:gridCol w:w="245"/>
        <w:gridCol w:w="245"/>
        <w:gridCol w:w="2011"/>
        <w:gridCol w:w="1742"/>
        <w:gridCol w:w="1754"/>
        <w:gridCol w:w="774"/>
        <w:gridCol w:w="773"/>
        <w:gridCol w:w="772"/>
        <w:gridCol w:w="779"/>
        <w:gridCol w:w="18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7" w:hRule="atLeast"/>
          <w:jc w:val="center"/>
        </w:trPr>
        <w:tc>
          <w:tcPr>
            <w:tcW w:w="13840" w:type="dxa"/>
            <w:gridSpan w:val="11"/>
            <w:tcBorders>
              <w:top w:val="nil"/>
              <w:left w:val="nil"/>
              <w:bottom w:val="nil"/>
              <w:right w:val="single" w:color="808080"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30"/>
                <w:szCs w:val="30"/>
                <w:u w:val="none"/>
              </w:rPr>
            </w:pPr>
            <w:r>
              <w:rPr>
                <w:rFonts w:hint="eastAsia" w:ascii="黑体" w:hAnsi="宋体" w:eastAsia="黑体" w:cs="黑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jc w:val="center"/>
        </w:trPr>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jc w:val="center"/>
        </w:trPr>
        <w:tc>
          <w:tcPr>
            <w:tcW w:w="0" w:type="auto"/>
            <w:tcBorders>
              <w:top w:val="nil"/>
              <w:left w:val="nil"/>
              <w:bottom w:val="single" w:color="80808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部门：唐河县人大</w:t>
            </w:r>
            <w:r>
              <w:rPr>
                <w:rFonts w:hint="eastAsia" w:cs="宋体"/>
                <w:i w:val="0"/>
                <w:iCs w:val="0"/>
                <w:color w:val="000000"/>
                <w:kern w:val="0"/>
                <w:sz w:val="22"/>
                <w:szCs w:val="22"/>
                <w:u w:val="none"/>
                <w:lang w:val="en-US" w:eastAsia="zh-CN" w:bidi="ar"/>
              </w:rPr>
              <w:t>常委会</w:t>
            </w:r>
          </w:p>
        </w:tc>
        <w:tc>
          <w:tcPr>
            <w:tcW w:w="0" w:type="auto"/>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2020年度</w:t>
            </w:r>
          </w:p>
        </w:tc>
        <w:tc>
          <w:tcPr>
            <w:tcW w:w="0" w:type="auto"/>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4"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73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本年收入合计</w:t>
            </w:r>
          </w:p>
        </w:tc>
        <w:tc>
          <w:tcPr>
            <w:tcW w:w="1754"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财政拨款收入</w:t>
            </w:r>
          </w:p>
        </w:tc>
        <w:tc>
          <w:tcPr>
            <w:tcW w:w="784"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上级补助收入</w:t>
            </w:r>
          </w:p>
        </w:tc>
        <w:tc>
          <w:tcPr>
            <w:tcW w:w="782"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事业收入</w:t>
            </w:r>
          </w:p>
        </w:tc>
        <w:tc>
          <w:tcPr>
            <w:tcW w:w="77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经营收入</w:t>
            </w:r>
          </w:p>
        </w:tc>
        <w:tc>
          <w:tcPr>
            <w:tcW w:w="79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附属单位上缴收入</w:t>
            </w:r>
          </w:p>
        </w:tc>
        <w:tc>
          <w:tcPr>
            <w:tcW w:w="179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4" w:hRule="atLeast"/>
          <w:jc w:val="center"/>
        </w:trPr>
        <w:tc>
          <w:tcPr>
            <w:tcW w:w="3410"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73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54"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2"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79"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9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4" w:hRule="atLeast"/>
          <w:jc w:val="center"/>
        </w:trPr>
        <w:tc>
          <w:tcPr>
            <w:tcW w:w="3410"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3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54"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2"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79"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9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4" w:hRule="atLeast"/>
          <w:jc w:val="center"/>
        </w:trPr>
        <w:tc>
          <w:tcPr>
            <w:tcW w:w="3410"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3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54"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2"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79"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9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4"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73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75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7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7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4"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9,621,316.80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9,621,316.80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9,621,316.80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9,621,316.80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人大事务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9,621,316.80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9,621,316.80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8,437,751.60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8,437,751.60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2010104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人大会议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2010108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代表工作</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2010150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333,565.20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333,565.20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jc w:val="center"/>
        </w:trPr>
        <w:tc>
          <w:tcPr>
            <w:tcW w:w="0" w:type="auto"/>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注：本表反映部门本年度取得的各项收入情况。</w:t>
            </w:r>
          </w:p>
        </w:tc>
      </w:tr>
    </w:tbl>
    <w:p>
      <w:pPr>
        <w:spacing w:after="0" w:line="240" w:lineRule="auto"/>
        <w:rPr>
          <w:sz w:val="15"/>
        </w:rPr>
        <w:sectPr>
          <w:pgSz w:w="16840" w:h="11910" w:orient="landscape"/>
          <w:pgMar w:top="1100" w:right="1280" w:bottom="900" w:left="1300" w:header="0" w:footer="720" w:gutter="0"/>
          <w:pgBorders>
            <w:top w:val="none" w:sz="0" w:space="0"/>
            <w:left w:val="none" w:sz="0" w:space="0"/>
            <w:bottom w:val="none" w:sz="0" w:space="0"/>
            <w:right w:val="none" w:sz="0" w:space="0"/>
          </w:pgBorders>
          <w:cols w:space="720" w:num="1"/>
        </w:sect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tbl>
      <w:tblPr>
        <w:tblStyle w:val="6"/>
        <w:tblW w:w="137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905"/>
        <w:gridCol w:w="245"/>
        <w:gridCol w:w="245"/>
        <w:gridCol w:w="2009"/>
        <w:gridCol w:w="1729"/>
        <w:gridCol w:w="1728"/>
        <w:gridCol w:w="1484"/>
        <w:gridCol w:w="754"/>
        <w:gridCol w:w="754"/>
        <w:gridCol w:w="18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4" w:hRule="atLeast"/>
          <w:jc w:val="center"/>
        </w:trPr>
        <w:tc>
          <w:tcPr>
            <w:tcW w:w="13720" w:type="dxa"/>
            <w:gridSpan w:val="10"/>
            <w:tcBorders>
              <w:top w:val="nil"/>
              <w:left w:val="nil"/>
              <w:bottom w:val="nil"/>
              <w:right w:val="single" w:color="808080"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30"/>
                <w:szCs w:val="30"/>
                <w:u w:val="none"/>
              </w:rPr>
            </w:pPr>
            <w:r>
              <w:rPr>
                <w:rFonts w:hint="eastAsia" w:ascii="黑体" w:hAnsi="宋体" w:eastAsia="黑体" w:cs="黑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jc w:val="center"/>
        </w:trPr>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jc w:val="center"/>
        </w:trPr>
        <w:tc>
          <w:tcPr>
            <w:tcW w:w="0" w:type="auto"/>
            <w:tcBorders>
              <w:top w:val="nil"/>
              <w:left w:val="nil"/>
              <w:bottom w:val="single" w:color="80808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部门：唐河县人大</w:t>
            </w:r>
            <w:r>
              <w:rPr>
                <w:rFonts w:hint="eastAsia" w:cs="宋体"/>
                <w:i w:val="0"/>
                <w:iCs w:val="0"/>
                <w:color w:val="000000"/>
                <w:kern w:val="0"/>
                <w:sz w:val="22"/>
                <w:szCs w:val="22"/>
                <w:u w:val="none"/>
                <w:lang w:val="en-US" w:eastAsia="zh-CN" w:bidi="ar"/>
              </w:rPr>
              <w:t>常委会</w:t>
            </w:r>
          </w:p>
        </w:tc>
        <w:tc>
          <w:tcPr>
            <w:tcW w:w="0" w:type="auto"/>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2020年度</w:t>
            </w:r>
          </w:p>
        </w:tc>
        <w:tc>
          <w:tcPr>
            <w:tcW w:w="0" w:type="auto"/>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71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本年支出合计</w:t>
            </w:r>
          </w:p>
        </w:tc>
        <w:tc>
          <w:tcPr>
            <w:tcW w:w="171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468"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747"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上缴上级支出</w:t>
            </w:r>
          </w:p>
        </w:tc>
        <w:tc>
          <w:tcPr>
            <w:tcW w:w="747"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经营支出</w:t>
            </w:r>
          </w:p>
        </w:tc>
        <w:tc>
          <w:tcPr>
            <w:tcW w:w="185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3446"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71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1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68"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5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3446"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1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1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68"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5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3446"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1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1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68"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5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71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7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4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4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8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9,621,316.80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8,771,316.80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850,000.00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9,621,316.80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8,771,316.80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850,000.00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人大事务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9,621,316.80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8,771,316.80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850,000.00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8,437,751.60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8,437,751.60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2010104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人大会议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2010108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代表工作</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650,000.00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2010150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333,565.20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333,565.20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jc w:val="center"/>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注：本表反映部门本年度各项支出情况。</w:t>
            </w:r>
          </w:p>
        </w:tc>
      </w:tr>
    </w:tbl>
    <w:p>
      <w:pPr>
        <w:spacing w:before="0" w:line="240" w:lineRule="auto"/>
        <w:rPr>
          <w:sz w:val="20"/>
        </w:rPr>
      </w:pPr>
    </w:p>
    <w:p>
      <w:pPr>
        <w:spacing w:before="0"/>
        <w:ind w:left="140" w:right="0" w:firstLine="0"/>
        <w:jc w:val="left"/>
        <w:rPr>
          <w:sz w:val="20"/>
        </w:rPr>
      </w:pPr>
    </w:p>
    <w:p>
      <w:pPr>
        <w:spacing w:after="0"/>
        <w:jc w:val="left"/>
        <w:rPr>
          <w:sz w:val="20"/>
        </w:rPr>
        <w:sectPr>
          <w:type w:val="continuous"/>
          <w:pgSz w:w="16840" w:h="11910" w:orient="landscape"/>
          <w:pgMar w:top="1580" w:right="1280" w:bottom="280" w:left="1300" w:header="720" w:footer="720" w:gutter="0"/>
          <w:pgBorders>
            <w:top w:val="none" w:sz="0" w:space="0"/>
            <w:left w:val="none" w:sz="0" w:space="0"/>
            <w:bottom w:val="none" w:sz="0" w:space="0"/>
            <w:right w:val="none" w:sz="0" w:space="0"/>
          </w:pgBorders>
          <w:cols w:space="720" w:num="1"/>
        </w:sectPr>
      </w:pPr>
    </w:p>
    <w:p>
      <w:pPr>
        <w:spacing w:before="12" w:line="240" w:lineRule="auto"/>
        <w:rPr>
          <w:sz w:val="20"/>
        </w:rPr>
      </w:pPr>
    </w:p>
    <w:p>
      <w:pPr>
        <w:spacing w:before="0" w:line="240" w:lineRule="auto"/>
        <w:rPr>
          <w:sz w:val="20"/>
        </w:rPr>
      </w:pPr>
    </w:p>
    <w:tbl>
      <w:tblPr>
        <w:tblStyle w:val="6"/>
        <w:tblW w:w="147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901"/>
        <w:gridCol w:w="505"/>
        <w:gridCol w:w="1489"/>
        <w:gridCol w:w="3246"/>
        <w:gridCol w:w="1096"/>
        <w:gridCol w:w="1416"/>
        <w:gridCol w:w="1489"/>
        <w:gridCol w:w="972"/>
        <w:gridCol w:w="16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4720"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30"/>
                <w:szCs w:val="30"/>
                <w:u w:val="none"/>
              </w:rPr>
            </w:pPr>
            <w:r>
              <w:rPr>
                <w:rFonts w:hint="eastAsia" w:ascii="黑体" w:hAnsi="宋体" w:eastAsia="黑体" w:cs="黑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jc w:val="center"/>
        </w:trPr>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16"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89"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jc w:val="center"/>
        </w:trPr>
        <w:tc>
          <w:tcPr>
            <w:tcW w:w="0" w:type="auto"/>
            <w:tcBorders>
              <w:top w:val="nil"/>
              <w:left w:val="nil"/>
              <w:bottom w:val="single" w:color="auto"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部门：唐河县人大</w:t>
            </w:r>
            <w:r>
              <w:rPr>
                <w:rFonts w:hint="eastAsia" w:cs="宋体"/>
                <w:i w:val="0"/>
                <w:iCs w:val="0"/>
                <w:color w:val="000000"/>
                <w:kern w:val="0"/>
                <w:sz w:val="22"/>
                <w:szCs w:val="22"/>
                <w:u w:val="none"/>
                <w:lang w:val="en-US" w:eastAsia="zh-CN" w:bidi="ar"/>
              </w:rPr>
              <w:t>常委会</w:t>
            </w:r>
          </w:p>
        </w:tc>
        <w:tc>
          <w:tcPr>
            <w:tcW w:w="0" w:type="auto"/>
            <w:tcBorders>
              <w:top w:val="nil"/>
              <w:left w:val="nil"/>
              <w:bottom w:val="single" w:color="auto"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auto"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auto"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2020年度</w:t>
            </w:r>
          </w:p>
        </w:tc>
        <w:tc>
          <w:tcPr>
            <w:tcW w:w="1416" w:type="dxa"/>
            <w:tcBorders>
              <w:top w:val="nil"/>
              <w:left w:val="nil"/>
              <w:bottom w:val="single" w:color="auto"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89" w:type="dxa"/>
            <w:tcBorders>
              <w:top w:val="nil"/>
              <w:left w:val="nil"/>
              <w:bottom w:val="single" w:color="auto"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auto"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auto"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 w:hRule="atLeast"/>
          <w:jc w:val="center"/>
        </w:trPr>
        <w:tc>
          <w:tcPr>
            <w:tcW w:w="0" w:type="auto"/>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     入</w:t>
            </w:r>
          </w:p>
        </w:tc>
        <w:tc>
          <w:tcPr>
            <w:tcW w:w="0" w:type="auto"/>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jc w:val="center"/>
        </w:trPr>
        <w:tc>
          <w:tcPr>
            <w:tcW w:w="29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5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14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3246" w:type="dxa"/>
            <w:vMerge w:val="restart"/>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0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141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4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一般公共预算财政拨款</w:t>
            </w:r>
          </w:p>
        </w:tc>
        <w:tc>
          <w:tcPr>
            <w:tcW w:w="97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政府性基金预算财政拨款</w:t>
            </w:r>
          </w:p>
        </w:tc>
        <w:tc>
          <w:tcPr>
            <w:tcW w:w="16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9" w:hRule="atLeast"/>
          <w:jc w:val="center"/>
        </w:trPr>
        <w:tc>
          <w:tcPr>
            <w:tcW w:w="2901"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505" w:type="dxa"/>
            <w:vMerge w:val="continue"/>
            <w:tcBorders>
              <w:top w:val="single" w:color="auto" w:sz="4" w:space="0"/>
              <w:left w:val="nil"/>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89" w:type="dxa"/>
            <w:vMerge w:val="continue"/>
            <w:tcBorders>
              <w:top w:val="single" w:color="auto" w:sz="4" w:space="0"/>
              <w:left w:val="nil"/>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46" w:type="dxa"/>
            <w:vMerge w:val="continue"/>
            <w:tcBorders>
              <w:top w:val="single" w:color="auto" w:sz="4" w:space="0"/>
              <w:left w:val="nil"/>
              <w:bottom w:val="single" w:color="auto" w:sz="4" w:space="0"/>
              <w:right w:val="single" w:color="000000" w:sz="4" w:space="0"/>
            </w:tcBorders>
            <w:shd w:val="clear" w:color="auto" w:fill="auto"/>
            <w:vAlign w:val="bottom"/>
          </w:tcPr>
          <w:p>
            <w:pPr>
              <w:jc w:val="both"/>
              <w:rPr>
                <w:rFonts w:hint="eastAsia" w:ascii="宋体" w:hAnsi="宋体" w:eastAsia="宋体" w:cs="宋体"/>
                <w:i w:val="0"/>
                <w:iCs w:val="0"/>
                <w:color w:val="000000"/>
                <w:sz w:val="20"/>
                <w:szCs w:val="20"/>
                <w:u w:val="none"/>
              </w:rPr>
            </w:pPr>
          </w:p>
        </w:tc>
        <w:tc>
          <w:tcPr>
            <w:tcW w:w="1096" w:type="dxa"/>
            <w:vMerge w:val="continue"/>
            <w:tcBorders>
              <w:top w:val="single" w:color="auto" w:sz="4" w:space="0"/>
              <w:left w:val="nil"/>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auto" w:sz="4" w:space="0"/>
              <w:left w:val="nil"/>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489" w:type="dxa"/>
            <w:vMerge w:val="continue"/>
            <w:tcBorders>
              <w:top w:val="single" w:color="auto" w:sz="4" w:space="0"/>
              <w:left w:val="nil"/>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2" w:type="dxa"/>
            <w:vMerge w:val="continue"/>
            <w:tcBorders>
              <w:top w:val="single" w:color="auto" w:sz="4" w:space="0"/>
              <w:left w:val="nil"/>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06" w:type="dxa"/>
            <w:vMerge w:val="continue"/>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 w:hRule="atLeast"/>
          <w:jc w:val="center"/>
        </w:trPr>
        <w:tc>
          <w:tcPr>
            <w:tcW w:w="0" w:type="auto"/>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0" w:type="auto"/>
            <w:tcBorders>
              <w:top w:val="single" w:color="auto"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auto"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0" w:type="auto"/>
            <w:tcBorders>
              <w:top w:val="single" w:color="auto"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89"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9,621,316.80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9,621,316.80</w:t>
            </w:r>
          </w:p>
        </w:tc>
        <w:tc>
          <w:tcPr>
            <w:tcW w:w="14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9,621,316.80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三、国有资本经营财政拨款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bl>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tbl>
      <w:tblPr>
        <w:tblStyle w:val="6"/>
        <w:tblW w:w="14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2883"/>
        <w:gridCol w:w="501"/>
        <w:gridCol w:w="1480"/>
        <w:gridCol w:w="3244"/>
        <w:gridCol w:w="501"/>
        <w:gridCol w:w="1480"/>
        <w:gridCol w:w="1480"/>
        <w:gridCol w:w="1480"/>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jc w:val="center"/>
        </w:trPr>
        <w:tc>
          <w:tcPr>
            <w:tcW w:w="2883" w:type="dxa"/>
            <w:shd w:val="clear" w:color="auto" w:fill="auto"/>
            <w:noWrap/>
            <w:vAlign w:val="center"/>
          </w:tcPr>
          <w:p>
            <w:pPr>
              <w:jc w:val="left"/>
              <w:rPr>
                <w:rFonts w:hint="eastAsia" w:ascii="宋体" w:hAnsi="宋体" w:eastAsia="宋体" w:cs="宋体"/>
                <w:i w:val="0"/>
                <w:iCs w:val="0"/>
                <w:color w:val="000000"/>
                <w:sz w:val="20"/>
                <w:szCs w:val="20"/>
                <w:u w:val="none"/>
              </w:rPr>
            </w:pPr>
          </w:p>
        </w:tc>
        <w:tc>
          <w:tcPr>
            <w:tcW w:w="501"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480" w:type="dxa"/>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244"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501"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1480"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80" w:type="dxa"/>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80"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85"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20" w:hRule="atLeast"/>
          <w:jc w:val="center"/>
        </w:trPr>
        <w:tc>
          <w:tcPr>
            <w:tcW w:w="0" w:type="auto"/>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0" w:type="auto"/>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0" w:type="auto"/>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20" w:hRule="atLeast"/>
          <w:jc w:val="center"/>
        </w:trPr>
        <w:tc>
          <w:tcPr>
            <w:tcW w:w="0" w:type="auto"/>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0" w:type="auto"/>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0" w:type="auto"/>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20" w:hRule="atLeast"/>
          <w:jc w:val="center"/>
        </w:trPr>
        <w:tc>
          <w:tcPr>
            <w:tcW w:w="0" w:type="auto"/>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0" w:type="auto"/>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20" w:hRule="atLeast"/>
          <w:jc w:val="center"/>
        </w:trPr>
        <w:tc>
          <w:tcPr>
            <w:tcW w:w="0" w:type="auto"/>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0" w:type="auto"/>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20" w:hRule="atLeast"/>
          <w:jc w:val="center"/>
        </w:trPr>
        <w:tc>
          <w:tcPr>
            <w:tcW w:w="0" w:type="auto"/>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0" w:type="auto"/>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20" w:hRule="atLeast"/>
          <w:jc w:val="center"/>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0" w:type="auto"/>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9,621,316.80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0" w:type="auto"/>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9,621,316.80</w:t>
            </w:r>
          </w:p>
        </w:tc>
        <w:tc>
          <w:tcPr>
            <w:tcW w:w="0" w:type="auto"/>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9,621,316.80</w:t>
            </w:r>
          </w:p>
        </w:tc>
        <w:tc>
          <w:tcPr>
            <w:tcW w:w="0" w:type="auto"/>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20" w:hRule="atLeast"/>
          <w:jc w:val="center"/>
        </w:trPr>
        <w:tc>
          <w:tcPr>
            <w:tcW w:w="0" w:type="auto"/>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年初财政拨款结转和结余</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0" w:type="auto"/>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年末财政拨款结转和结余</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0" w:type="auto"/>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20" w:hRule="atLeast"/>
          <w:jc w:val="center"/>
        </w:trPr>
        <w:tc>
          <w:tcPr>
            <w:tcW w:w="0" w:type="auto"/>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一般公共预算财政拨款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0" w:type="auto"/>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0" w:type="auto"/>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20" w:hRule="atLeast"/>
          <w:jc w:val="center"/>
        </w:trPr>
        <w:tc>
          <w:tcPr>
            <w:tcW w:w="0" w:type="auto"/>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政府性基金预算财政拨款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0" w:type="auto"/>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0" w:type="auto"/>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20" w:hRule="atLeast"/>
          <w:jc w:val="center"/>
        </w:trPr>
        <w:tc>
          <w:tcPr>
            <w:tcW w:w="0" w:type="auto"/>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国有资本经营预算财政拨款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0" w:type="auto"/>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0" w:type="auto"/>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20" w:hRule="atLeast"/>
          <w:jc w:val="center"/>
        </w:trPr>
        <w:tc>
          <w:tcPr>
            <w:tcW w:w="0" w:type="auto"/>
            <w:tcBorders>
              <w:bottom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0" w:type="auto"/>
            <w:tcBorders>
              <w:bottom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0" w:type="auto"/>
            <w:tcBorders>
              <w:bottom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9,621,316.80</w:t>
            </w:r>
          </w:p>
        </w:tc>
        <w:tc>
          <w:tcPr>
            <w:tcW w:w="0" w:type="auto"/>
            <w:tcBorders>
              <w:bottom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0" w:type="auto"/>
            <w:tcBorders>
              <w:bottom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0" w:type="auto"/>
            <w:tcBorders>
              <w:bottom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9,621,316.80</w:t>
            </w:r>
          </w:p>
        </w:tc>
        <w:tc>
          <w:tcPr>
            <w:tcW w:w="0" w:type="auto"/>
            <w:tcBorders>
              <w:bottom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9,621,316.80</w:t>
            </w:r>
          </w:p>
        </w:tc>
        <w:tc>
          <w:tcPr>
            <w:tcW w:w="0" w:type="auto"/>
            <w:tcBorders>
              <w:bottom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bottom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71" w:hRule="atLeast"/>
          <w:jc w:val="center"/>
        </w:trPr>
        <w:tc>
          <w:tcPr>
            <w:tcW w:w="0" w:type="auto"/>
            <w:gridSpan w:val="8"/>
            <w:tcBorders>
              <w:top w:val="single" w:color="auto" w:sz="4" w:space="0"/>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注：本表反映部门本年度一般公共预算财政拨款、政府性基金预算财政拨款和国有资本经营预算财政拨款的总收支和年末结转结余情况。</w:t>
            </w:r>
          </w:p>
        </w:tc>
        <w:tc>
          <w:tcPr>
            <w:tcW w:w="0" w:type="auto"/>
            <w:tcBorders>
              <w:top w:val="single" w:color="auto" w:sz="4" w:space="0"/>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r>
    </w:tbl>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tbl>
      <w:tblPr>
        <w:tblStyle w:val="6"/>
        <w:tblW w:w="1291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636"/>
        <w:gridCol w:w="222"/>
        <w:gridCol w:w="222"/>
        <w:gridCol w:w="1816"/>
        <w:gridCol w:w="2631"/>
        <w:gridCol w:w="2631"/>
        <w:gridCol w:w="27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2927" w:type="dxa"/>
            <w:gridSpan w:val="7"/>
            <w:tcBorders>
              <w:top w:val="nil"/>
              <w:left w:val="nil"/>
              <w:bottom w:val="nil"/>
              <w:right w:val="single" w:color="808080" w:sz="4" w:space="0"/>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30"/>
                <w:szCs w:val="30"/>
                <w:u w:val="none"/>
              </w:rPr>
            </w:pPr>
            <w:r>
              <w:rPr>
                <w:rFonts w:hint="eastAsia" w:ascii="黑体" w:hAnsi="宋体" w:eastAsia="黑体" w:cs="黑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0" w:type="auto"/>
            <w:tcBorders>
              <w:top w:val="nil"/>
              <w:left w:val="nil"/>
              <w:bottom w:val="single" w:color="80808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部门：唐河县人大</w:t>
            </w:r>
            <w:r>
              <w:rPr>
                <w:rFonts w:hint="eastAsia" w:cs="宋体"/>
                <w:i w:val="0"/>
                <w:iCs w:val="0"/>
                <w:color w:val="000000"/>
                <w:kern w:val="0"/>
                <w:sz w:val="22"/>
                <w:szCs w:val="22"/>
                <w:u w:val="none"/>
                <w:lang w:val="en-US" w:eastAsia="zh-CN" w:bidi="ar"/>
              </w:rPr>
              <w:t>常委会</w:t>
            </w: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2020年度</w:t>
            </w: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8955"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987"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298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298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298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987"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8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8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8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9,621,316.80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8,771,316.80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9,621,316.80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8,771,316.80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人大事务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9,621,316.80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8,771,316.80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行政运行</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8,437,751.60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8,437,751.60</w:t>
            </w:r>
          </w:p>
        </w:tc>
        <w:tc>
          <w:tcPr>
            <w:tcW w:w="0" w:type="auto"/>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2010104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人大会议</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200,000.00</w:t>
            </w:r>
          </w:p>
        </w:tc>
        <w:tc>
          <w:tcPr>
            <w:tcW w:w="0" w:type="auto"/>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2010108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代表工作</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650,000.00</w:t>
            </w:r>
          </w:p>
        </w:tc>
        <w:tc>
          <w:tcPr>
            <w:tcW w:w="0" w:type="auto"/>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2010150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事业运行</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333,565.20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333,565.20</w:t>
            </w:r>
          </w:p>
        </w:tc>
        <w:tc>
          <w:tcPr>
            <w:tcW w:w="0" w:type="auto"/>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0" w:type="auto"/>
            <w:gridSpan w:val="7"/>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注：本表反映部门本年度一般公共预算财政拨款支出情况。</w:t>
            </w:r>
          </w:p>
        </w:tc>
      </w:tr>
    </w:tbl>
    <w:p>
      <w:pPr>
        <w:spacing w:after="0" w:line="240" w:lineRule="auto"/>
        <w:rPr>
          <w:sz w:val="20"/>
        </w:rPr>
        <w:sectPr>
          <w:footerReference r:id="rId9" w:type="default"/>
          <w:pgSz w:w="16840" w:h="11910" w:orient="landscape"/>
          <w:pgMar w:top="1100" w:right="1280" w:bottom="900" w:left="1300" w:header="0" w:footer="720" w:gutter="0"/>
          <w:pgBorders>
            <w:top w:val="none" w:sz="0" w:space="0"/>
            <w:left w:val="none" w:sz="0" w:space="0"/>
            <w:bottom w:val="none" w:sz="0" w:space="0"/>
            <w:right w:val="none" w:sz="0" w:space="0"/>
          </w:pgBorders>
          <w:cols w:space="720" w:num="1"/>
        </w:sectPr>
      </w:pPr>
    </w:p>
    <w:tbl>
      <w:tblPr>
        <w:tblStyle w:val="6"/>
        <w:tblW w:w="1438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45"/>
        <w:gridCol w:w="2430"/>
        <w:gridCol w:w="1560"/>
        <w:gridCol w:w="975"/>
        <w:gridCol w:w="1710"/>
        <w:gridCol w:w="1564"/>
        <w:gridCol w:w="911"/>
        <w:gridCol w:w="2670"/>
        <w:gridCol w:w="15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4383" w:type="dxa"/>
            <w:gridSpan w:val="9"/>
            <w:tcBorders>
              <w:top w:val="nil"/>
              <w:left w:val="nil"/>
              <w:bottom w:val="nil"/>
              <w:right w:val="single" w:color="808080" w:sz="4" w:space="0"/>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30"/>
                <w:szCs w:val="30"/>
                <w:u w:val="none"/>
              </w:rPr>
            </w:pPr>
            <w:r>
              <w:rPr>
                <w:rFonts w:hint="eastAsia" w:ascii="黑体" w:hAnsi="宋体" w:eastAsia="黑体" w:cs="黑体"/>
                <w:i w:val="0"/>
                <w:iCs w:val="0"/>
                <w:color w:val="000000"/>
                <w:kern w:val="0"/>
                <w:sz w:val="30"/>
                <w:szCs w:val="30"/>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4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3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6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97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71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64"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911"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67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18" w:type="dxa"/>
            <w:tcBorders>
              <w:top w:val="nil"/>
              <w:left w:val="nil"/>
              <w:bottom w:val="nil"/>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75" w:type="dxa"/>
            <w:gridSpan w:val="2"/>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部门：</w:t>
            </w:r>
            <w:r>
              <w:rPr>
                <w:rFonts w:hint="eastAsia" w:ascii="宋体" w:hAnsi="宋体" w:eastAsia="宋体" w:cs="宋体"/>
                <w:i w:val="0"/>
                <w:iCs w:val="0"/>
                <w:color w:val="000000"/>
                <w:kern w:val="0"/>
                <w:sz w:val="22"/>
                <w:szCs w:val="22"/>
                <w:u w:val="none"/>
                <w:lang w:val="en-US" w:eastAsia="zh-CN" w:bidi="ar"/>
              </w:rPr>
              <w:t>唐河县人大</w:t>
            </w:r>
            <w:r>
              <w:rPr>
                <w:rFonts w:hint="eastAsia" w:cs="宋体"/>
                <w:i w:val="0"/>
                <w:iCs w:val="0"/>
                <w:color w:val="000000"/>
                <w:kern w:val="0"/>
                <w:sz w:val="22"/>
                <w:szCs w:val="22"/>
                <w:u w:val="none"/>
                <w:lang w:val="en-US" w:eastAsia="zh-CN" w:bidi="ar"/>
              </w:rPr>
              <w:t>常委会</w:t>
            </w:r>
          </w:p>
        </w:tc>
        <w:tc>
          <w:tcPr>
            <w:tcW w:w="1560"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2020年度</w:t>
            </w:r>
          </w:p>
        </w:tc>
        <w:tc>
          <w:tcPr>
            <w:tcW w:w="975"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710" w:type="dxa"/>
            <w:tcBorders>
              <w:top w:val="nil"/>
              <w:left w:val="nil"/>
              <w:bottom w:val="single" w:color="808080" w:sz="4" w:space="0"/>
              <w:right w:val="nil"/>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1564"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911"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670"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18" w:type="dxa"/>
            <w:tcBorders>
              <w:top w:val="nil"/>
              <w:left w:val="nil"/>
              <w:bottom w:val="single" w:color="808080" w:sz="4" w:space="0"/>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3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w:t>
            </w:r>
          </w:p>
        </w:tc>
        <w:tc>
          <w:tcPr>
            <w:tcW w:w="9348"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4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243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56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c>
          <w:tcPr>
            <w:tcW w:w="97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171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564"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c>
          <w:tcPr>
            <w:tcW w:w="91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267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518"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4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3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6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1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64"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1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7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8"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4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24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工资福利支出</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3,714,678.20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1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商品和服务支出</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4,035,852.20</w:t>
            </w:r>
          </w:p>
        </w:tc>
        <w:tc>
          <w:tcPr>
            <w:tcW w:w="9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w:t>
            </w:r>
          </w:p>
        </w:tc>
        <w:tc>
          <w:tcPr>
            <w:tcW w:w="26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债务利息及费用支出</w:t>
            </w:r>
          </w:p>
        </w:tc>
        <w:tc>
          <w:tcPr>
            <w:tcW w:w="15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4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30101</w:t>
            </w:r>
          </w:p>
        </w:tc>
        <w:tc>
          <w:tcPr>
            <w:tcW w:w="24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基本工资</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2,370,068.20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30201</w:t>
            </w:r>
          </w:p>
        </w:tc>
        <w:tc>
          <w:tcPr>
            <w:tcW w:w="1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办公费</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2,197,842.80</w:t>
            </w:r>
          </w:p>
        </w:tc>
        <w:tc>
          <w:tcPr>
            <w:tcW w:w="9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30701</w:t>
            </w:r>
          </w:p>
        </w:tc>
        <w:tc>
          <w:tcPr>
            <w:tcW w:w="26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国内债务付息</w:t>
            </w:r>
          </w:p>
        </w:tc>
        <w:tc>
          <w:tcPr>
            <w:tcW w:w="15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4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30102</w:t>
            </w:r>
          </w:p>
        </w:tc>
        <w:tc>
          <w:tcPr>
            <w:tcW w:w="24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津贴补贴</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175,610.00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30202</w:t>
            </w:r>
          </w:p>
        </w:tc>
        <w:tc>
          <w:tcPr>
            <w:tcW w:w="1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印刷费</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224,689.80</w:t>
            </w:r>
          </w:p>
        </w:tc>
        <w:tc>
          <w:tcPr>
            <w:tcW w:w="9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30702</w:t>
            </w:r>
          </w:p>
        </w:tc>
        <w:tc>
          <w:tcPr>
            <w:tcW w:w="26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国外债务付息</w:t>
            </w:r>
          </w:p>
        </w:tc>
        <w:tc>
          <w:tcPr>
            <w:tcW w:w="15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4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30103</w:t>
            </w:r>
          </w:p>
        </w:tc>
        <w:tc>
          <w:tcPr>
            <w:tcW w:w="24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奖金</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1,117,784.00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30203</w:t>
            </w:r>
          </w:p>
        </w:tc>
        <w:tc>
          <w:tcPr>
            <w:tcW w:w="1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咨询费</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10,000.00</w:t>
            </w:r>
          </w:p>
        </w:tc>
        <w:tc>
          <w:tcPr>
            <w:tcW w:w="9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w:t>
            </w:r>
          </w:p>
        </w:tc>
        <w:tc>
          <w:tcPr>
            <w:tcW w:w="26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资本性支出</w:t>
            </w:r>
          </w:p>
        </w:tc>
        <w:tc>
          <w:tcPr>
            <w:tcW w:w="15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317,451.00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4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30106</w:t>
            </w:r>
          </w:p>
        </w:tc>
        <w:tc>
          <w:tcPr>
            <w:tcW w:w="24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伙食补助费</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28,960.00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30204</w:t>
            </w:r>
          </w:p>
        </w:tc>
        <w:tc>
          <w:tcPr>
            <w:tcW w:w="1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手续费</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31001</w:t>
            </w:r>
          </w:p>
        </w:tc>
        <w:tc>
          <w:tcPr>
            <w:tcW w:w="26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房屋建筑物购建</w:t>
            </w:r>
          </w:p>
        </w:tc>
        <w:tc>
          <w:tcPr>
            <w:tcW w:w="15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4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30107</w:t>
            </w:r>
          </w:p>
        </w:tc>
        <w:tc>
          <w:tcPr>
            <w:tcW w:w="24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绩效工资</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22,256.00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30205</w:t>
            </w:r>
          </w:p>
        </w:tc>
        <w:tc>
          <w:tcPr>
            <w:tcW w:w="1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水费</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31002</w:t>
            </w:r>
          </w:p>
        </w:tc>
        <w:tc>
          <w:tcPr>
            <w:tcW w:w="26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办公设备购置</w:t>
            </w:r>
          </w:p>
        </w:tc>
        <w:tc>
          <w:tcPr>
            <w:tcW w:w="15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268,651.00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4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30108</w:t>
            </w:r>
          </w:p>
        </w:tc>
        <w:tc>
          <w:tcPr>
            <w:tcW w:w="24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30206</w:t>
            </w:r>
          </w:p>
        </w:tc>
        <w:tc>
          <w:tcPr>
            <w:tcW w:w="1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电费</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31003</w:t>
            </w:r>
          </w:p>
        </w:tc>
        <w:tc>
          <w:tcPr>
            <w:tcW w:w="26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专用设备购置</w:t>
            </w:r>
          </w:p>
        </w:tc>
        <w:tc>
          <w:tcPr>
            <w:tcW w:w="15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4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30109</w:t>
            </w:r>
          </w:p>
        </w:tc>
        <w:tc>
          <w:tcPr>
            <w:tcW w:w="24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职业年金缴费</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30207</w:t>
            </w:r>
          </w:p>
        </w:tc>
        <w:tc>
          <w:tcPr>
            <w:tcW w:w="1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邮电费</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78,280.00</w:t>
            </w:r>
          </w:p>
        </w:tc>
        <w:tc>
          <w:tcPr>
            <w:tcW w:w="9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31005</w:t>
            </w:r>
          </w:p>
        </w:tc>
        <w:tc>
          <w:tcPr>
            <w:tcW w:w="26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基础设施建设</w:t>
            </w:r>
          </w:p>
        </w:tc>
        <w:tc>
          <w:tcPr>
            <w:tcW w:w="15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4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30110</w:t>
            </w:r>
          </w:p>
        </w:tc>
        <w:tc>
          <w:tcPr>
            <w:tcW w:w="24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职工基本医疗保险缴费</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30208</w:t>
            </w:r>
          </w:p>
        </w:tc>
        <w:tc>
          <w:tcPr>
            <w:tcW w:w="1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取暖费</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1,312.50</w:t>
            </w:r>
          </w:p>
        </w:tc>
        <w:tc>
          <w:tcPr>
            <w:tcW w:w="9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31006</w:t>
            </w:r>
          </w:p>
        </w:tc>
        <w:tc>
          <w:tcPr>
            <w:tcW w:w="26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大型修缮</w:t>
            </w:r>
          </w:p>
        </w:tc>
        <w:tc>
          <w:tcPr>
            <w:tcW w:w="15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4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30111</w:t>
            </w:r>
          </w:p>
        </w:tc>
        <w:tc>
          <w:tcPr>
            <w:tcW w:w="24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公务员医疗补助缴费</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30209</w:t>
            </w:r>
          </w:p>
        </w:tc>
        <w:tc>
          <w:tcPr>
            <w:tcW w:w="1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物业管理费</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31007</w:t>
            </w:r>
          </w:p>
        </w:tc>
        <w:tc>
          <w:tcPr>
            <w:tcW w:w="26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信息网络及软件购置更新</w:t>
            </w:r>
          </w:p>
        </w:tc>
        <w:tc>
          <w:tcPr>
            <w:tcW w:w="15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4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30112</w:t>
            </w:r>
          </w:p>
        </w:tc>
        <w:tc>
          <w:tcPr>
            <w:tcW w:w="24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其他社会保障缴费</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30211</w:t>
            </w:r>
          </w:p>
        </w:tc>
        <w:tc>
          <w:tcPr>
            <w:tcW w:w="1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差旅费</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107,346.00</w:t>
            </w:r>
          </w:p>
        </w:tc>
        <w:tc>
          <w:tcPr>
            <w:tcW w:w="9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31008</w:t>
            </w:r>
          </w:p>
        </w:tc>
        <w:tc>
          <w:tcPr>
            <w:tcW w:w="26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物资储备</w:t>
            </w:r>
          </w:p>
        </w:tc>
        <w:tc>
          <w:tcPr>
            <w:tcW w:w="15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4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30113</w:t>
            </w:r>
          </w:p>
        </w:tc>
        <w:tc>
          <w:tcPr>
            <w:tcW w:w="24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30212</w:t>
            </w:r>
          </w:p>
        </w:tc>
        <w:tc>
          <w:tcPr>
            <w:tcW w:w="1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因公出国（境）费用</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31009</w:t>
            </w:r>
          </w:p>
        </w:tc>
        <w:tc>
          <w:tcPr>
            <w:tcW w:w="26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土地补偿</w:t>
            </w:r>
          </w:p>
        </w:tc>
        <w:tc>
          <w:tcPr>
            <w:tcW w:w="15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4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30114</w:t>
            </w:r>
          </w:p>
        </w:tc>
        <w:tc>
          <w:tcPr>
            <w:tcW w:w="24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医疗费</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30213</w:t>
            </w:r>
          </w:p>
        </w:tc>
        <w:tc>
          <w:tcPr>
            <w:tcW w:w="1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维修（护）费</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40,996.00</w:t>
            </w:r>
          </w:p>
        </w:tc>
        <w:tc>
          <w:tcPr>
            <w:tcW w:w="9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31010</w:t>
            </w:r>
          </w:p>
        </w:tc>
        <w:tc>
          <w:tcPr>
            <w:tcW w:w="26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安置补助</w:t>
            </w:r>
          </w:p>
        </w:tc>
        <w:tc>
          <w:tcPr>
            <w:tcW w:w="15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4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30199</w:t>
            </w:r>
          </w:p>
        </w:tc>
        <w:tc>
          <w:tcPr>
            <w:tcW w:w="24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其他工资福利支出</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30214</w:t>
            </w:r>
          </w:p>
        </w:tc>
        <w:tc>
          <w:tcPr>
            <w:tcW w:w="1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租赁费</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31011</w:t>
            </w:r>
          </w:p>
        </w:tc>
        <w:tc>
          <w:tcPr>
            <w:tcW w:w="26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地上附着物和青苗补偿</w:t>
            </w:r>
          </w:p>
        </w:tc>
        <w:tc>
          <w:tcPr>
            <w:tcW w:w="15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4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24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对个人和家庭的补助</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703,335.40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30215</w:t>
            </w:r>
          </w:p>
        </w:tc>
        <w:tc>
          <w:tcPr>
            <w:tcW w:w="1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会议费</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473,731.70</w:t>
            </w:r>
          </w:p>
        </w:tc>
        <w:tc>
          <w:tcPr>
            <w:tcW w:w="9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31012</w:t>
            </w:r>
          </w:p>
        </w:tc>
        <w:tc>
          <w:tcPr>
            <w:tcW w:w="26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拆迁补偿</w:t>
            </w:r>
          </w:p>
        </w:tc>
        <w:tc>
          <w:tcPr>
            <w:tcW w:w="15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4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30301</w:t>
            </w:r>
          </w:p>
        </w:tc>
        <w:tc>
          <w:tcPr>
            <w:tcW w:w="24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离休费</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30216</w:t>
            </w:r>
          </w:p>
        </w:tc>
        <w:tc>
          <w:tcPr>
            <w:tcW w:w="1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培训费</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60,140.00</w:t>
            </w:r>
          </w:p>
        </w:tc>
        <w:tc>
          <w:tcPr>
            <w:tcW w:w="9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31013</w:t>
            </w:r>
          </w:p>
        </w:tc>
        <w:tc>
          <w:tcPr>
            <w:tcW w:w="26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公务用车购置</w:t>
            </w:r>
          </w:p>
        </w:tc>
        <w:tc>
          <w:tcPr>
            <w:tcW w:w="15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4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30302</w:t>
            </w:r>
          </w:p>
        </w:tc>
        <w:tc>
          <w:tcPr>
            <w:tcW w:w="24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退休费</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328,271.88</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30217</w:t>
            </w:r>
          </w:p>
        </w:tc>
        <w:tc>
          <w:tcPr>
            <w:tcW w:w="1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公务接待费</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144,820.00</w:t>
            </w:r>
          </w:p>
        </w:tc>
        <w:tc>
          <w:tcPr>
            <w:tcW w:w="9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31019</w:t>
            </w:r>
          </w:p>
        </w:tc>
        <w:tc>
          <w:tcPr>
            <w:tcW w:w="26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其他交通工具购置</w:t>
            </w:r>
          </w:p>
        </w:tc>
        <w:tc>
          <w:tcPr>
            <w:tcW w:w="15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4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30303</w:t>
            </w:r>
          </w:p>
        </w:tc>
        <w:tc>
          <w:tcPr>
            <w:tcW w:w="24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退职（役）费</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30218</w:t>
            </w:r>
          </w:p>
        </w:tc>
        <w:tc>
          <w:tcPr>
            <w:tcW w:w="1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专用材料费</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31021</w:t>
            </w:r>
          </w:p>
        </w:tc>
        <w:tc>
          <w:tcPr>
            <w:tcW w:w="26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文物和陈列品购置</w:t>
            </w:r>
          </w:p>
        </w:tc>
        <w:tc>
          <w:tcPr>
            <w:tcW w:w="15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4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30304</w:t>
            </w:r>
          </w:p>
        </w:tc>
        <w:tc>
          <w:tcPr>
            <w:tcW w:w="24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抚恤金</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358,426.00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30224</w:t>
            </w:r>
          </w:p>
        </w:tc>
        <w:tc>
          <w:tcPr>
            <w:tcW w:w="1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被装购置费</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31022</w:t>
            </w:r>
          </w:p>
        </w:tc>
        <w:tc>
          <w:tcPr>
            <w:tcW w:w="26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无形资产购置</w:t>
            </w:r>
          </w:p>
        </w:tc>
        <w:tc>
          <w:tcPr>
            <w:tcW w:w="15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4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30305</w:t>
            </w:r>
          </w:p>
        </w:tc>
        <w:tc>
          <w:tcPr>
            <w:tcW w:w="24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生活补助</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30225</w:t>
            </w:r>
          </w:p>
        </w:tc>
        <w:tc>
          <w:tcPr>
            <w:tcW w:w="1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专用燃料费</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31099</w:t>
            </w:r>
          </w:p>
        </w:tc>
        <w:tc>
          <w:tcPr>
            <w:tcW w:w="26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其他资本性支出</w:t>
            </w:r>
          </w:p>
        </w:tc>
        <w:tc>
          <w:tcPr>
            <w:tcW w:w="15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4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30306</w:t>
            </w:r>
          </w:p>
        </w:tc>
        <w:tc>
          <w:tcPr>
            <w:tcW w:w="24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救济费</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30226</w:t>
            </w:r>
          </w:p>
        </w:tc>
        <w:tc>
          <w:tcPr>
            <w:tcW w:w="1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劳务费</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w:t>
            </w:r>
          </w:p>
        </w:tc>
        <w:tc>
          <w:tcPr>
            <w:tcW w:w="26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其他支出</w:t>
            </w:r>
          </w:p>
        </w:tc>
        <w:tc>
          <w:tcPr>
            <w:tcW w:w="15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4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30307</w:t>
            </w:r>
          </w:p>
        </w:tc>
        <w:tc>
          <w:tcPr>
            <w:tcW w:w="24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医疗费补助</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30227</w:t>
            </w:r>
          </w:p>
        </w:tc>
        <w:tc>
          <w:tcPr>
            <w:tcW w:w="1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委托业务费</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39906</w:t>
            </w:r>
          </w:p>
        </w:tc>
        <w:tc>
          <w:tcPr>
            <w:tcW w:w="26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赠与</w:t>
            </w:r>
          </w:p>
        </w:tc>
        <w:tc>
          <w:tcPr>
            <w:tcW w:w="15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4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30308</w:t>
            </w:r>
          </w:p>
        </w:tc>
        <w:tc>
          <w:tcPr>
            <w:tcW w:w="24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助学金</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30228</w:t>
            </w:r>
          </w:p>
        </w:tc>
        <w:tc>
          <w:tcPr>
            <w:tcW w:w="1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工会经费</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39907</w:t>
            </w:r>
          </w:p>
        </w:tc>
        <w:tc>
          <w:tcPr>
            <w:tcW w:w="26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国家赔偿费用支出</w:t>
            </w:r>
          </w:p>
        </w:tc>
        <w:tc>
          <w:tcPr>
            <w:tcW w:w="15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4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30309</w:t>
            </w:r>
          </w:p>
        </w:tc>
        <w:tc>
          <w:tcPr>
            <w:tcW w:w="24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奖励金</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30229</w:t>
            </w:r>
          </w:p>
        </w:tc>
        <w:tc>
          <w:tcPr>
            <w:tcW w:w="1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福利费</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5,873.00</w:t>
            </w:r>
          </w:p>
        </w:tc>
        <w:tc>
          <w:tcPr>
            <w:tcW w:w="9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39908</w:t>
            </w:r>
          </w:p>
        </w:tc>
        <w:tc>
          <w:tcPr>
            <w:tcW w:w="26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对民间非营利组织和群众性自治组织补贴</w:t>
            </w:r>
          </w:p>
        </w:tc>
        <w:tc>
          <w:tcPr>
            <w:tcW w:w="15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4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30310</w:t>
            </w:r>
          </w:p>
        </w:tc>
        <w:tc>
          <w:tcPr>
            <w:tcW w:w="24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个人农业生产补贴</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30231</w:t>
            </w:r>
          </w:p>
        </w:tc>
        <w:tc>
          <w:tcPr>
            <w:tcW w:w="1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公务用车运行维护费</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500,000.00</w:t>
            </w:r>
          </w:p>
        </w:tc>
        <w:tc>
          <w:tcPr>
            <w:tcW w:w="9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39999</w:t>
            </w:r>
          </w:p>
        </w:tc>
        <w:tc>
          <w:tcPr>
            <w:tcW w:w="26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其他支出</w:t>
            </w:r>
          </w:p>
        </w:tc>
        <w:tc>
          <w:tcPr>
            <w:tcW w:w="15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4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30311</w:t>
            </w:r>
          </w:p>
        </w:tc>
        <w:tc>
          <w:tcPr>
            <w:tcW w:w="24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代缴社会保险费</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30239</w:t>
            </w:r>
          </w:p>
        </w:tc>
        <w:tc>
          <w:tcPr>
            <w:tcW w:w="1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其他交通费用</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27,041.00</w:t>
            </w:r>
          </w:p>
        </w:tc>
        <w:tc>
          <w:tcPr>
            <w:tcW w:w="911"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670"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5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4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30399</w:t>
            </w:r>
          </w:p>
        </w:tc>
        <w:tc>
          <w:tcPr>
            <w:tcW w:w="24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其他对个人和家庭的补助</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11,637.52</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30240</w:t>
            </w:r>
          </w:p>
        </w:tc>
        <w:tc>
          <w:tcPr>
            <w:tcW w:w="1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税金及附加费用</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11"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670"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5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45"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430"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5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30299</w:t>
            </w:r>
          </w:p>
        </w:tc>
        <w:tc>
          <w:tcPr>
            <w:tcW w:w="1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其他商品和服务支出</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163,779.40</w:t>
            </w:r>
          </w:p>
        </w:tc>
        <w:tc>
          <w:tcPr>
            <w:tcW w:w="911"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670"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5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75"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人员经费合计</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4,418,013.60</w:t>
            </w:r>
          </w:p>
        </w:tc>
        <w:tc>
          <w:tcPr>
            <w:tcW w:w="783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公用经费合计</w:t>
            </w:r>
          </w:p>
        </w:tc>
        <w:tc>
          <w:tcPr>
            <w:tcW w:w="15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4,353,303.20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383" w:type="dxa"/>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注：本表反映部门本年度一般公共预算财政拨款基本支出明细情况。</w:t>
            </w:r>
          </w:p>
        </w:tc>
      </w:tr>
    </w:tbl>
    <w:p>
      <w:pPr>
        <w:spacing w:after="0" w:line="240" w:lineRule="auto"/>
        <w:rPr>
          <w:sz w:val="18"/>
        </w:rPr>
      </w:pPr>
    </w:p>
    <w:p>
      <w:pPr>
        <w:spacing w:after="0" w:line="240" w:lineRule="auto"/>
        <w:rPr>
          <w:sz w:val="18"/>
        </w:rPr>
      </w:pPr>
    </w:p>
    <w:p>
      <w:pPr>
        <w:spacing w:after="0" w:line="240" w:lineRule="auto"/>
        <w:rPr>
          <w:sz w:val="18"/>
        </w:rPr>
      </w:pPr>
    </w:p>
    <w:p>
      <w:pPr>
        <w:spacing w:after="0" w:line="240" w:lineRule="auto"/>
        <w:rPr>
          <w:sz w:val="18"/>
        </w:rPr>
      </w:pPr>
    </w:p>
    <w:p>
      <w:pPr>
        <w:spacing w:after="0" w:line="240" w:lineRule="auto"/>
        <w:rPr>
          <w:sz w:val="18"/>
        </w:rPr>
      </w:pPr>
    </w:p>
    <w:p>
      <w:pPr>
        <w:spacing w:after="0" w:line="240" w:lineRule="auto"/>
        <w:rPr>
          <w:sz w:val="18"/>
        </w:rPr>
      </w:pPr>
    </w:p>
    <w:p>
      <w:pPr>
        <w:spacing w:after="0" w:line="240" w:lineRule="auto"/>
        <w:rPr>
          <w:sz w:val="18"/>
        </w:rPr>
      </w:pPr>
    </w:p>
    <w:p>
      <w:pPr>
        <w:spacing w:after="0" w:line="240" w:lineRule="auto"/>
        <w:rPr>
          <w:sz w:val="18"/>
        </w:rPr>
      </w:pPr>
    </w:p>
    <w:p>
      <w:pPr>
        <w:spacing w:after="0" w:line="240" w:lineRule="auto"/>
        <w:rPr>
          <w:sz w:val="18"/>
        </w:rPr>
      </w:pPr>
    </w:p>
    <w:p>
      <w:pPr>
        <w:spacing w:after="0" w:line="240" w:lineRule="auto"/>
        <w:rPr>
          <w:sz w:val="18"/>
        </w:rPr>
      </w:pPr>
    </w:p>
    <w:p>
      <w:pPr>
        <w:spacing w:after="0" w:line="240" w:lineRule="auto"/>
        <w:rPr>
          <w:sz w:val="18"/>
        </w:rPr>
      </w:pPr>
    </w:p>
    <w:p>
      <w:pPr>
        <w:spacing w:after="0" w:line="240" w:lineRule="auto"/>
        <w:rPr>
          <w:sz w:val="18"/>
        </w:rPr>
      </w:pPr>
    </w:p>
    <w:p>
      <w:pPr>
        <w:spacing w:after="0" w:line="240" w:lineRule="auto"/>
        <w:rPr>
          <w:sz w:val="18"/>
        </w:rPr>
      </w:pPr>
    </w:p>
    <w:p>
      <w:pPr>
        <w:spacing w:after="0" w:line="240" w:lineRule="auto"/>
        <w:rPr>
          <w:sz w:val="18"/>
        </w:rPr>
      </w:pPr>
    </w:p>
    <w:p>
      <w:pPr>
        <w:spacing w:after="0" w:line="240" w:lineRule="auto"/>
        <w:rPr>
          <w:sz w:val="18"/>
        </w:rPr>
      </w:pPr>
    </w:p>
    <w:p>
      <w:pPr>
        <w:spacing w:after="0" w:line="240" w:lineRule="auto"/>
        <w:rPr>
          <w:sz w:val="18"/>
        </w:rPr>
      </w:pPr>
    </w:p>
    <w:p>
      <w:pPr>
        <w:spacing w:after="0" w:line="240" w:lineRule="auto"/>
        <w:rPr>
          <w:sz w:val="18"/>
        </w:rPr>
      </w:pPr>
    </w:p>
    <w:p>
      <w:pPr>
        <w:spacing w:after="0" w:line="240" w:lineRule="auto"/>
        <w:rPr>
          <w:sz w:val="18"/>
        </w:rPr>
      </w:pPr>
    </w:p>
    <w:p>
      <w:pPr>
        <w:spacing w:after="0" w:line="240" w:lineRule="auto"/>
        <w:rPr>
          <w:sz w:val="18"/>
        </w:rPr>
      </w:pPr>
    </w:p>
    <w:p>
      <w:pPr>
        <w:spacing w:after="0" w:line="240" w:lineRule="auto"/>
        <w:rPr>
          <w:sz w:val="18"/>
        </w:rPr>
      </w:pPr>
    </w:p>
    <w:p>
      <w:pPr>
        <w:spacing w:after="0" w:line="240" w:lineRule="auto"/>
        <w:rPr>
          <w:sz w:val="18"/>
        </w:rPr>
      </w:pPr>
    </w:p>
    <w:p>
      <w:pPr>
        <w:spacing w:after="0" w:line="240" w:lineRule="auto"/>
        <w:rPr>
          <w:sz w:val="18"/>
        </w:rPr>
      </w:pPr>
    </w:p>
    <w:p>
      <w:pPr>
        <w:spacing w:after="0" w:line="240" w:lineRule="auto"/>
        <w:rPr>
          <w:sz w:val="18"/>
        </w:rPr>
      </w:pPr>
    </w:p>
    <w:p>
      <w:pPr>
        <w:spacing w:after="0" w:line="240" w:lineRule="auto"/>
        <w:rPr>
          <w:sz w:val="18"/>
        </w:rPr>
      </w:pPr>
    </w:p>
    <w:p>
      <w:pPr>
        <w:spacing w:after="0" w:line="240" w:lineRule="auto"/>
        <w:rPr>
          <w:sz w:val="18"/>
        </w:rPr>
        <w:sectPr>
          <w:pgSz w:w="16840" w:h="11910" w:orient="landscape"/>
          <w:pgMar w:top="1100" w:right="1280" w:bottom="900" w:left="1300" w:header="0" w:footer="720" w:gutter="0"/>
          <w:pgBorders>
            <w:top w:val="none" w:sz="0" w:space="0"/>
            <w:left w:val="none" w:sz="0" w:space="0"/>
            <w:bottom w:val="none" w:sz="0" w:space="0"/>
            <w:right w:val="none" w:sz="0" w:space="0"/>
          </w:pgBorders>
          <w:cols w:space="720" w:num="1"/>
        </w:sectPr>
      </w:pPr>
    </w:p>
    <w:p>
      <w:pPr>
        <w:pStyle w:val="3"/>
        <w:spacing w:before="102"/>
        <w:ind w:left="3814"/>
        <w:jc w:val="center"/>
        <w:rPr>
          <w:rFonts w:hint="eastAsia" w:ascii="PMingLiU" w:hAnsi="PMingLiU" w:eastAsia="PMingLiU"/>
        </w:rPr>
      </w:pPr>
    </w:p>
    <w:p>
      <w:pPr>
        <w:pStyle w:val="3"/>
        <w:spacing w:before="102"/>
        <w:ind w:left="3814"/>
        <w:jc w:val="center"/>
        <w:rPr>
          <w:rFonts w:hint="eastAsia" w:ascii="PMingLiU" w:hAnsi="PMingLiU" w:eastAsia="PMingLiU"/>
        </w:rPr>
      </w:pPr>
    </w:p>
    <w:p>
      <w:pPr>
        <w:pStyle w:val="3"/>
        <w:spacing w:before="102"/>
        <w:ind w:left="3814"/>
        <w:jc w:val="center"/>
        <w:rPr>
          <w:rFonts w:hint="eastAsia" w:ascii="PMingLiU" w:hAnsi="PMingLiU" w:eastAsia="PMingLiU"/>
        </w:rPr>
      </w:pPr>
    </w:p>
    <w:p>
      <w:pPr>
        <w:pStyle w:val="3"/>
        <w:spacing w:before="102"/>
        <w:ind w:left="3814"/>
        <w:jc w:val="center"/>
        <w:rPr>
          <w:rFonts w:hint="eastAsia" w:ascii="PMingLiU" w:hAnsi="PMingLiU" w:eastAsia="PMingLiU"/>
        </w:rPr>
      </w:pPr>
    </w:p>
    <w:p>
      <w:pPr>
        <w:pStyle w:val="3"/>
        <w:spacing w:before="102"/>
        <w:ind w:left="3814"/>
        <w:jc w:val="center"/>
        <w:rPr>
          <w:rFonts w:hint="eastAsia" w:ascii="PMingLiU" w:hAnsi="PMingLiU" w:eastAsia="PMingLiU"/>
        </w:rPr>
      </w:pPr>
    </w:p>
    <w:p>
      <w:pPr>
        <w:pStyle w:val="3"/>
        <w:spacing w:before="102"/>
        <w:ind w:left="3814"/>
        <w:jc w:val="center"/>
        <w:rPr>
          <w:rFonts w:hint="eastAsia" w:ascii="PMingLiU" w:hAnsi="PMingLiU" w:eastAsia="PMingLiU"/>
        </w:rPr>
      </w:pPr>
    </w:p>
    <w:p>
      <w:pPr>
        <w:pStyle w:val="3"/>
        <w:spacing w:before="102"/>
        <w:ind w:left="3814"/>
        <w:jc w:val="both"/>
        <w:rPr>
          <w:rFonts w:hint="eastAsia" w:ascii="PMingLiU" w:hAnsi="PMingLiU" w:eastAsia="PMingLiU"/>
        </w:rPr>
      </w:pPr>
    </w:p>
    <w:p>
      <w:pPr>
        <w:pStyle w:val="3"/>
        <w:spacing w:before="102"/>
        <w:jc w:val="both"/>
        <w:rPr>
          <w:rFonts w:hint="eastAsia" w:ascii="PMingLiU" w:hAnsi="PMingLiU" w:eastAsia="PMingLiU"/>
        </w:rPr>
      </w:pPr>
    </w:p>
    <w:p>
      <w:pPr>
        <w:pStyle w:val="3"/>
        <w:spacing w:before="102"/>
        <w:jc w:val="center"/>
        <w:rPr>
          <w:rFonts w:hint="eastAsia" w:ascii="PMingLiU" w:hAnsi="PMingLiU" w:eastAsia="PMingLiU"/>
          <w:b/>
          <w:bCs/>
          <w:sz w:val="32"/>
          <w:szCs w:val="32"/>
        </w:rPr>
      </w:pPr>
      <w:r>
        <w:rPr>
          <w:rFonts w:hint="eastAsia" w:ascii="PMingLiU" w:hAnsi="PMingLiU" w:eastAsia="宋体"/>
          <w:b/>
          <w:bCs/>
          <w:sz w:val="32"/>
          <w:szCs w:val="32"/>
          <w:lang w:val="en-US" w:eastAsia="zh-CN"/>
        </w:rPr>
        <w:t xml:space="preserve">                                             </w:t>
      </w:r>
      <w:r>
        <w:rPr>
          <w:rFonts w:hint="eastAsia" w:ascii="PMingLiU" w:hAnsi="PMingLiU" w:eastAsia="PMingLiU"/>
          <w:b/>
          <w:bCs/>
          <w:sz w:val="32"/>
          <w:szCs w:val="32"/>
        </w:rPr>
        <w:t>一般公共预算财政拨款“三公”经费支出决算表</w:t>
      </w:r>
    </w:p>
    <w:p>
      <w:pPr>
        <w:pStyle w:val="3"/>
        <w:spacing w:before="102"/>
        <w:ind w:left="3814"/>
        <w:jc w:val="center"/>
        <w:rPr>
          <w:rFonts w:hint="eastAsia" w:ascii="PMingLiU" w:hAnsi="PMingLiU" w:eastAsia="PMingLiU"/>
          <w:sz w:val="22"/>
          <w:szCs w:val="22"/>
        </w:rPr>
      </w:pPr>
    </w:p>
    <w:p>
      <w:pPr>
        <w:pStyle w:val="3"/>
        <w:spacing w:before="102"/>
        <w:ind w:left="3814"/>
        <w:jc w:val="center"/>
        <w:rPr>
          <w:rFonts w:hint="eastAsia" w:ascii="PMingLiU" w:hAnsi="PMingLiU" w:eastAsia="PMingLiU"/>
          <w:sz w:val="22"/>
          <w:szCs w:val="22"/>
        </w:rPr>
      </w:pPr>
    </w:p>
    <w:p>
      <w:pPr>
        <w:pStyle w:val="3"/>
        <w:spacing w:before="102"/>
        <w:ind w:left="3814"/>
        <w:jc w:val="center"/>
        <w:rPr>
          <w:rFonts w:hint="eastAsia" w:ascii="PMingLiU" w:hAnsi="PMingLiU" w:eastAsia="PMingLiU"/>
          <w:sz w:val="22"/>
          <w:szCs w:val="22"/>
        </w:rPr>
      </w:pPr>
    </w:p>
    <w:p>
      <w:pPr>
        <w:pStyle w:val="3"/>
        <w:jc w:val="center"/>
        <w:rPr>
          <w:rFonts w:ascii="PMingLiU"/>
          <w:sz w:val="22"/>
          <w:szCs w:val="22"/>
        </w:rPr>
      </w:pPr>
      <w:r>
        <w:rPr>
          <w:sz w:val="22"/>
          <w:szCs w:val="22"/>
        </w:rPr>
        <w:br w:type="column"/>
      </w:r>
    </w:p>
    <w:p>
      <w:pPr>
        <w:pStyle w:val="3"/>
        <w:spacing w:before="11"/>
        <w:jc w:val="center"/>
        <w:rPr>
          <w:rFonts w:ascii="PMingLiU"/>
          <w:sz w:val="22"/>
          <w:szCs w:val="22"/>
        </w:rPr>
      </w:pPr>
    </w:p>
    <w:p>
      <w:pPr>
        <w:spacing w:before="0"/>
        <w:ind w:left="0" w:right="193" w:firstLine="0"/>
        <w:jc w:val="center"/>
        <w:rPr>
          <w:sz w:val="22"/>
          <w:szCs w:val="22"/>
        </w:rPr>
      </w:pPr>
      <w:r>
        <w:rPr>
          <w:sz w:val="22"/>
          <w:szCs w:val="22"/>
        </w:rPr>
        <w:t>公开 07 表</w:t>
      </w:r>
    </w:p>
    <w:p>
      <w:pPr>
        <w:spacing w:after="0"/>
        <w:jc w:val="center"/>
        <w:rPr>
          <w:sz w:val="22"/>
          <w:szCs w:val="22"/>
        </w:rPr>
        <w:sectPr>
          <w:type w:val="continuous"/>
          <w:pgSz w:w="16840" w:h="11910" w:orient="landscape"/>
          <w:pgMar w:top="1580" w:right="1280" w:bottom="280" w:left="1300" w:header="720" w:footer="720" w:gutter="0"/>
          <w:pgBorders>
            <w:top w:val="none" w:sz="0" w:space="0"/>
            <w:left w:val="none" w:sz="0" w:space="0"/>
            <w:bottom w:val="none" w:sz="0" w:space="0"/>
            <w:right w:val="none" w:sz="0" w:space="0"/>
          </w:pgBorders>
          <w:cols w:equalWidth="0" w:num="2">
            <w:col w:w="10535" w:space="40"/>
            <w:col w:w="3685"/>
          </w:cols>
        </w:sectPr>
      </w:pPr>
    </w:p>
    <w:p>
      <w:pPr>
        <w:tabs>
          <w:tab w:val="left" w:pos="6036"/>
          <w:tab w:val="left" w:pos="13063"/>
        </w:tabs>
        <w:spacing w:before="70" w:after="27"/>
        <w:ind w:left="286" w:right="0" w:firstLine="0"/>
        <w:jc w:val="center"/>
        <w:rPr>
          <w:sz w:val="22"/>
          <w:szCs w:val="22"/>
        </w:rPr>
      </w:pPr>
      <w:r>
        <w:rPr>
          <w:sz w:val="22"/>
          <w:szCs w:val="22"/>
        </w:rPr>
        <w:t>部门：</w:t>
      </w:r>
      <w:r>
        <w:rPr>
          <w:rFonts w:hint="eastAsia" w:ascii="宋体" w:hAnsi="宋体" w:eastAsia="宋体" w:cs="宋体"/>
          <w:i w:val="0"/>
          <w:iCs w:val="0"/>
          <w:color w:val="000000"/>
          <w:kern w:val="0"/>
          <w:sz w:val="22"/>
          <w:szCs w:val="22"/>
          <w:u w:val="none"/>
          <w:lang w:val="en-US" w:eastAsia="zh-CN" w:bidi="ar"/>
        </w:rPr>
        <w:t>唐河县人大</w:t>
      </w:r>
      <w:r>
        <w:rPr>
          <w:rFonts w:hint="eastAsia" w:cs="宋体"/>
          <w:i w:val="0"/>
          <w:iCs w:val="0"/>
          <w:color w:val="000000"/>
          <w:kern w:val="0"/>
          <w:sz w:val="22"/>
          <w:szCs w:val="22"/>
          <w:u w:val="none"/>
          <w:lang w:val="en-US" w:eastAsia="zh-CN" w:bidi="ar"/>
        </w:rPr>
        <w:t>常委会</w:t>
      </w:r>
      <w:r>
        <w:rPr>
          <w:sz w:val="22"/>
          <w:szCs w:val="22"/>
        </w:rPr>
        <w:tab/>
      </w:r>
      <w:r>
        <w:rPr>
          <w:sz w:val="22"/>
          <w:szCs w:val="22"/>
        </w:rPr>
        <w:t>20</w:t>
      </w:r>
      <w:r>
        <w:rPr>
          <w:rFonts w:hint="eastAsia"/>
          <w:sz w:val="22"/>
          <w:szCs w:val="22"/>
          <w:lang w:val="en-US" w:eastAsia="zh-CN"/>
        </w:rPr>
        <w:t>20</w:t>
      </w:r>
      <w:r>
        <w:rPr>
          <w:spacing w:val="-50"/>
          <w:sz w:val="22"/>
          <w:szCs w:val="22"/>
        </w:rPr>
        <w:t xml:space="preserve"> </w:t>
      </w:r>
      <w:r>
        <w:rPr>
          <w:sz w:val="22"/>
          <w:szCs w:val="22"/>
        </w:rPr>
        <w:t>年</w:t>
      </w:r>
      <w:r>
        <w:rPr>
          <w:sz w:val="22"/>
          <w:szCs w:val="22"/>
        </w:rPr>
        <w:tab/>
      </w:r>
      <w:r>
        <w:rPr>
          <w:sz w:val="22"/>
          <w:szCs w:val="22"/>
        </w:rPr>
        <w:t>单位：元</w:t>
      </w:r>
    </w:p>
    <w:tbl>
      <w:tblPr>
        <w:tblStyle w:val="6"/>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4" w:hRule="atLeast"/>
          <w:jc w:val="center"/>
        </w:trPr>
        <w:tc>
          <w:tcPr>
            <w:tcW w:w="6901" w:type="dxa"/>
            <w:gridSpan w:val="6"/>
            <w:tcBorders>
              <w:bottom w:val="single" w:color="000000" w:sz="4" w:space="0"/>
              <w:right w:val="single" w:color="000000" w:sz="4" w:space="0"/>
            </w:tcBorders>
          </w:tcPr>
          <w:p>
            <w:pPr>
              <w:pStyle w:val="10"/>
              <w:spacing w:before="168"/>
              <w:ind w:left="3128" w:right="3118"/>
              <w:jc w:val="center"/>
              <w:rPr>
                <w:sz w:val="22"/>
                <w:szCs w:val="22"/>
              </w:rPr>
            </w:pPr>
            <w:r>
              <w:rPr>
                <w:sz w:val="22"/>
                <w:szCs w:val="22"/>
              </w:rPr>
              <w:t>预算数</w:t>
            </w:r>
          </w:p>
        </w:tc>
        <w:tc>
          <w:tcPr>
            <w:tcW w:w="6906" w:type="dxa"/>
            <w:gridSpan w:val="6"/>
            <w:tcBorders>
              <w:left w:val="single" w:color="000000" w:sz="4" w:space="0"/>
              <w:bottom w:val="single" w:color="000000" w:sz="4" w:space="0"/>
            </w:tcBorders>
          </w:tcPr>
          <w:p>
            <w:pPr>
              <w:pStyle w:val="10"/>
              <w:spacing w:before="168"/>
              <w:ind w:left="3137" w:right="3114"/>
              <w:jc w:val="center"/>
              <w:rPr>
                <w:sz w:val="22"/>
                <w:szCs w:val="22"/>
              </w:rPr>
            </w:pPr>
            <w:r>
              <w:rPr>
                <w:sz w:val="22"/>
                <w:szCs w:val="22"/>
              </w:rPr>
              <w:t>决算数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5" w:hRule="atLeast"/>
          <w:jc w:val="center"/>
        </w:trPr>
        <w:tc>
          <w:tcPr>
            <w:tcW w:w="1151" w:type="dxa"/>
            <w:vMerge w:val="restart"/>
            <w:tcBorders>
              <w:top w:val="single" w:color="000000" w:sz="4" w:space="0"/>
              <w:bottom w:val="single" w:color="000000" w:sz="4" w:space="0"/>
              <w:right w:val="single" w:color="000000" w:sz="4" w:space="0"/>
            </w:tcBorders>
          </w:tcPr>
          <w:p>
            <w:pPr>
              <w:pStyle w:val="10"/>
              <w:jc w:val="center"/>
              <w:rPr>
                <w:sz w:val="22"/>
                <w:szCs w:val="22"/>
              </w:rPr>
            </w:pPr>
          </w:p>
          <w:p>
            <w:pPr>
              <w:pStyle w:val="10"/>
              <w:jc w:val="center"/>
              <w:rPr>
                <w:sz w:val="22"/>
                <w:szCs w:val="22"/>
              </w:rPr>
            </w:pPr>
          </w:p>
          <w:p>
            <w:pPr>
              <w:pStyle w:val="10"/>
              <w:ind w:left="374"/>
              <w:jc w:val="center"/>
              <w:rPr>
                <w:sz w:val="22"/>
                <w:szCs w:val="22"/>
              </w:rPr>
            </w:pPr>
            <w:r>
              <w:rPr>
                <w:sz w:val="22"/>
                <w:szCs w:val="22"/>
              </w:rPr>
              <w:t>合计</w:t>
            </w:r>
          </w:p>
        </w:tc>
        <w:tc>
          <w:tcPr>
            <w:tcW w:w="1149" w:type="dxa"/>
            <w:vMerge w:val="restart"/>
            <w:tcBorders>
              <w:top w:val="single" w:color="000000" w:sz="4" w:space="0"/>
              <w:left w:val="single" w:color="000000" w:sz="4" w:space="0"/>
              <w:bottom w:val="single" w:color="000000" w:sz="4" w:space="0"/>
              <w:right w:val="single" w:color="000000" w:sz="4" w:space="0"/>
            </w:tcBorders>
          </w:tcPr>
          <w:p>
            <w:pPr>
              <w:pStyle w:val="10"/>
              <w:spacing w:before="10"/>
              <w:jc w:val="center"/>
              <w:rPr>
                <w:sz w:val="22"/>
                <w:szCs w:val="22"/>
              </w:rPr>
            </w:pPr>
          </w:p>
          <w:p>
            <w:pPr>
              <w:pStyle w:val="10"/>
              <w:ind w:left="178"/>
              <w:jc w:val="center"/>
              <w:rPr>
                <w:sz w:val="22"/>
                <w:szCs w:val="22"/>
              </w:rPr>
            </w:pPr>
            <w:r>
              <w:rPr>
                <w:w w:val="95"/>
                <w:sz w:val="22"/>
                <w:szCs w:val="22"/>
              </w:rPr>
              <w:t>因公出国</w:t>
            </w:r>
          </w:p>
          <w:p>
            <w:pPr>
              <w:pStyle w:val="10"/>
              <w:spacing w:before="56"/>
              <w:ind w:left="178"/>
              <w:jc w:val="center"/>
              <w:rPr>
                <w:sz w:val="22"/>
                <w:szCs w:val="22"/>
              </w:rPr>
            </w:pPr>
            <w:r>
              <w:rPr>
                <w:w w:val="95"/>
                <w:sz w:val="22"/>
                <w:szCs w:val="22"/>
              </w:rPr>
              <w:t>（境）费</w:t>
            </w:r>
          </w:p>
        </w:tc>
        <w:tc>
          <w:tcPr>
            <w:tcW w:w="3451" w:type="dxa"/>
            <w:gridSpan w:val="3"/>
            <w:tcBorders>
              <w:top w:val="single" w:color="000000" w:sz="4" w:space="0"/>
              <w:left w:val="single" w:color="000000" w:sz="4" w:space="0"/>
              <w:bottom w:val="single" w:color="000000" w:sz="4" w:space="0"/>
              <w:right w:val="single" w:color="000000" w:sz="4" w:space="0"/>
            </w:tcBorders>
          </w:tcPr>
          <w:p>
            <w:pPr>
              <w:pStyle w:val="10"/>
              <w:spacing w:before="9"/>
              <w:jc w:val="center"/>
              <w:rPr>
                <w:sz w:val="22"/>
                <w:szCs w:val="22"/>
              </w:rPr>
            </w:pPr>
          </w:p>
          <w:p>
            <w:pPr>
              <w:pStyle w:val="10"/>
              <w:ind w:left="728"/>
              <w:jc w:val="center"/>
              <w:rPr>
                <w:sz w:val="22"/>
                <w:szCs w:val="22"/>
              </w:rPr>
            </w:pPr>
            <w:r>
              <w:rPr>
                <w:sz w:val="22"/>
                <w:szCs w:val="22"/>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tcPr>
          <w:p>
            <w:pPr>
              <w:pStyle w:val="10"/>
              <w:jc w:val="center"/>
              <w:rPr>
                <w:sz w:val="22"/>
                <w:szCs w:val="22"/>
              </w:rPr>
            </w:pPr>
          </w:p>
          <w:p>
            <w:pPr>
              <w:pStyle w:val="10"/>
              <w:jc w:val="center"/>
              <w:rPr>
                <w:sz w:val="22"/>
                <w:szCs w:val="22"/>
              </w:rPr>
            </w:pPr>
          </w:p>
          <w:p>
            <w:pPr>
              <w:pStyle w:val="10"/>
              <w:ind w:left="78"/>
              <w:jc w:val="center"/>
              <w:rPr>
                <w:sz w:val="22"/>
                <w:szCs w:val="22"/>
              </w:rPr>
            </w:pPr>
            <w:r>
              <w:rPr>
                <w:sz w:val="22"/>
                <w:szCs w:val="22"/>
              </w:rPr>
              <w:t>公务接待费</w:t>
            </w:r>
          </w:p>
        </w:tc>
        <w:tc>
          <w:tcPr>
            <w:tcW w:w="1151" w:type="dxa"/>
            <w:vMerge w:val="restart"/>
            <w:tcBorders>
              <w:top w:val="single" w:color="000000" w:sz="4" w:space="0"/>
              <w:left w:val="single" w:color="000000" w:sz="4" w:space="0"/>
              <w:bottom w:val="single" w:color="000000" w:sz="4" w:space="0"/>
              <w:right w:val="single" w:color="000000" w:sz="4" w:space="0"/>
            </w:tcBorders>
          </w:tcPr>
          <w:p>
            <w:pPr>
              <w:pStyle w:val="10"/>
              <w:jc w:val="center"/>
              <w:rPr>
                <w:sz w:val="22"/>
                <w:szCs w:val="22"/>
              </w:rPr>
            </w:pPr>
          </w:p>
          <w:p>
            <w:pPr>
              <w:pStyle w:val="10"/>
              <w:jc w:val="center"/>
              <w:rPr>
                <w:sz w:val="22"/>
                <w:szCs w:val="22"/>
              </w:rPr>
            </w:pPr>
          </w:p>
          <w:p>
            <w:pPr>
              <w:pStyle w:val="10"/>
              <w:ind w:left="380"/>
              <w:jc w:val="center"/>
              <w:rPr>
                <w:sz w:val="22"/>
                <w:szCs w:val="22"/>
              </w:rPr>
            </w:pPr>
            <w:r>
              <w:rPr>
                <w:sz w:val="22"/>
                <w:szCs w:val="22"/>
              </w:rPr>
              <w:t>合计</w:t>
            </w:r>
          </w:p>
        </w:tc>
        <w:tc>
          <w:tcPr>
            <w:tcW w:w="1151" w:type="dxa"/>
            <w:vMerge w:val="restart"/>
            <w:tcBorders>
              <w:top w:val="single" w:color="000000" w:sz="4" w:space="0"/>
              <w:left w:val="single" w:color="000000" w:sz="4" w:space="0"/>
              <w:bottom w:val="single" w:color="000000" w:sz="4" w:space="0"/>
              <w:right w:val="single" w:color="000000" w:sz="4" w:space="0"/>
            </w:tcBorders>
          </w:tcPr>
          <w:p>
            <w:pPr>
              <w:pStyle w:val="10"/>
              <w:spacing w:before="10"/>
              <w:jc w:val="center"/>
              <w:rPr>
                <w:sz w:val="22"/>
                <w:szCs w:val="22"/>
              </w:rPr>
            </w:pPr>
          </w:p>
          <w:p>
            <w:pPr>
              <w:pStyle w:val="10"/>
              <w:ind w:left="179"/>
              <w:jc w:val="center"/>
              <w:rPr>
                <w:sz w:val="22"/>
                <w:szCs w:val="22"/>
              </w:rPr>
            </w:pPr>
            <w:r>
              <w:rPr>
                <w:w w:val="95"/>
                <w:sz w:val="22"/>
                <w:szCs w:val="22"/>
              </w:rPr>
              <w:t>因公出国</w:t>
            </w:r>
          </w:p>
          <w:p>
            <w:pPr>
              <w:pStyle w:val="10"/>
              <w:spacing w:before="56"/>
              <w:ind w:left="179"/>
              <w:jc w:val="center"/>
              <w:rPr>
                <w:sz w:val="22"/>
                <w:szCs w:val="22"/>
              </w:rPr>
            </w:pPr>
            <w:r>
              <w:rPr>
                <w:w w:val="95"/>
                <w:sz w:val="22"/>
                <w:szCs w:val="22"/>
              </w:rPr>
              <w:t>（境）费</w:t>
            </w:r>
          </w:p>
        </w:tc>
        <w:tc>
          <w:tcPr>
            <w:tcW w:w="3453" w:type="dxa"/>
            <w:gridSpan w:val="3"/>
            <w:tcBorders>
              <w:top w:val="single" w:color="000000" w:sz="4" w:space="0"/>
              <w:left w:val="single" w:color="000000" w:sz="4" w:space="0"/>
              <w:bottom w:val="single" w:color="000000" w:sz="4" w:space="0"/>
              <w:right w:val="single" w:color="000000" w:sz="4" w:space="0"/>
            </w:tcBorders>
          </w:tcPr>
          <w:p>
            <w:pPr>
              <w:pStyle w:val="10"/>
              <w:spacing w:before="9"/>
              <w:jc w:val="center"/>
              <w:rPr>
                <w:sz w:val="22"/>
                <w:szCs w:val="22"/>
              </w:rPr>
            </w:pPr>
          </w:p>
          <w:p>
            <w:pPr>
              <w:pStyle w:val="10"/>
              <w:ind w:left="730"/>
              <w:jc w:val="center"/>
              <w:rPr>
                <w:sz w:val="22"/>
                <w:szCs w:val="22"/>
              </w:rPr>
            </w:pPr>
            <w:r>
              <w:rPr>
                <w:sz w:val="22"/>
                <w:szCs w:val="22"/>
              </w:rPr>
              <w:t>公务用车购置及运行费</w:t>
            </w:r>
          </w:p>
        </w:tc>
        <w:tc>
          <w:tcPr>
            <w:tcW w:w="1151" w:type="dxa"/>
            <w:vMerge w:val="restart"/>
            <w:tcBorders>
              <w:top w:val="single" w:color="000000" w:sz="4" w:space="0"/>
              <w:left w:val="single" w:color="000000" w:sz="4" w:space="0"/>
              <w:bottom w:val="single" w:color="000000" w:sz="4" w:space="0"/>
            </w:tcBorders>
          </w:tcPr>
          <w:p>
            <w:pPr>
              <w:pStyle w:val="10"/>
              <w:jc w:val="center"/>
              <w:rPr>
                <w:sz w:val="22"/>
                <w:szCs w:val="22"/>
              </w:rPr>
            </w:pPr>
          </w:p>
          <w:p>
            <w:pPr>
              <w:pStyle w:val="10"/>
              <w:jc w:val="center"/>
              <w:rPr>
                <w:sz w:val="22"/>
                <w:szCs w:val="22"/>
              </w:rPr>
            </w:pPr>
          </w:p>
          <w:p>
            <w:pPr>
              <w:pStyle w:val="10"/>
              <w:ind w:left="80"/>
              <w:jc w:val="center"/>
              <w:rPr>
                <w:sz w:val="22"/>
                <w:szCs w:val="22"/>
              </w:rPr>
            </w:pPr>
            <w:r>
              <w:rPr>
                <w:sz w:val="22"/>
                <w:szCs w:val="22"/>
              </w:rPr>
              <w:t>公务接待费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8" w:hRule="atLeast"/>
          <w:jc w:val="center"/>
        </w:trPr>
        <w:tc>
          <w:tcPr>
            <w:tcW w:w="1151" w:type="dxa"/>
            <w:vMerge w:val="continue"/>
            <w:tcBorders>
              <w:top w:val="nil"/>
              <w:bottom w:val="single" w:color="000000" w:sz="4" w:space="0"/>
              <w:right w:val="single" w:color="000000" w:sz="4" w:space="0"/>
            </w:tcBorders>
          </w:tcPr>
          <w:p>
            <w:pPr>
              <w:jc w:val="center"/>
              <w:rPr>
                <w:sz w:val="22"/>
                <w:szCs w:val="22"/>
              </w:rPr>
            </w:pPr>
          </w:p>
        </w:tc>
        <w:tc>
          <w:tcPr>
            <w:tcW w:w="1149" w:type="dxa"/>
            <w:vMerge w:val="continue"/>
            <w:tcBorders>
              <w:top w:val="nil"/>
              <w:left w:val="single" w:color="000000" w:sz="4" w:space="0"/>
              <w:bottom w:val="single" w:color="000000" w:sz="4" w:space="0"/>
              <w:right w:val="single" w:color="000000" w:sz="4" w:space="0"/>
            </w:tcBorders>
          </w:tcPr>
          <w:p>
            <w:pPr>
              <w:jc w:val="center"/>
              <w:rPr>
                <w:sz w:val="22"/>
                <w:szCs w:val="22"/>
              </w:rPr>
            </w:pPr>
          </w:p>
        </w:tc>
        <w:tc>
          <w:tcPr>
            <w:tcW w:w="1150" w:type="dxa"/>
            <w:tcBorders>
              <w:top w:val="single" w:color="000000" w:sz="4" w:space="0"/>
              <w:left w:val="single" w:color="000000" w:sz="4" w:space="0"/>
              <w:bottom w:val="single" w:color="000000" w:sz="4" w:space="0"/>
              <w:right w:val="single" w:color="000000" w:sz="4" w:space="0"/>
            </w:tcBorders>
          </w:tcPr>
          <w:p>
            <w:pPr>
              <w:pStyle w:val="10"/>
              <w:spacing w:before="7"/>
              <w:jc w:val="center"/>
              <w:rPr>
                <w:sz w:val="22"/>
                <w:szCs w:val="22"/>
              </w:rPr>
            </w:pPr>
          </w:p>
          <w:p>
            <w:pPr>
              <w:pStyle w:val="10"/>
              <w:ind w:left="380"/>
              <w:jc w:val="center"/>
              <w:rPr>
                <w:sz w:val="22"/>
                <w:szCs w:val="22"/>
              </w:rPr>
            </w:pPr>
            <w:r>
              <w:rPr>
                <w:sz w:val="22"/>
                <w:szCs w:val="22"/>
              </w:rPr>
              <w:t>小计</w:t>
            </w:r>
          </w:p>
        </w:tc>
        <w:tc>
          <w:tcPr>
            <w:tcW w:w="1150" w:type="dxa"/>
            <w:tcBorders>
              <w:top w:val="single" w:color="000000" w:sz="4" w:space="0"/>
              <w:left w:val="single" w:color="000000" w:sz="4" w:space="0"/>
              <w:bottom w:val="single" w:color="000000" w:sz="4" w:space="0"/>
              <w:right w:val="single" w:color="000000" w:sz="4" w:space="0"/>
            </w:tcBorders>
          </w:tcPr>
          <w:p>
            <w:pPr>
              <w:pStyle w:val="10"/>
              <w:spacing w:before="43"/>
              <w:ind w:right="160"/>
              <w:jc w:val="center"/>
              <w:rPr>
                <w:sz w:val="22"/>
                <w:szCs w:val="22"/>
              </w:rPr>
            </w:pPr>
            <w:r>
              <w:rPr>
                <w:w w:val="95"/>
                <w:sz w:val="22"/>
                <w:szCs w:val="22"/>
              </w:rPr>
              <w:t>公务用车</w:t>
            </w:r>
          </w:p>
          <w:p>
            <w:pPr>
              <w:pStyle w:val="10"/>
              <w:spacing w:before="56"/>
              <w:ind w:right="258"/>
              <w:jc w:val="center"/>
              <w:rPr>
                <w:sz w:val="22"/>
                <w:szCs w:val="22"/>
              </w:rPr>
            </w:pPr>
            <w:r>
              <w:rPr>
                <w:w w:val="95"/>
                <w:sz w:val="22"/>
                <w:szCs w:val="22"/>
              </w:rPr>
              <w:t>购置费</w:t>
            </w:r>
          </w:p>
        </w:tc>
        <w:tc>
          <w:tcPr>
            <w:tcW w:w="1151" w:type="dxa"/>
            <w:tcBorders>
              <w:top w:val="single" w:color="000000" w:sz="4" w:space="0"/>
              <w:left w:val="single" w:color="000000" w:sz="4" w:space="0"/>
              <w:bottom w:val="single" w:color="000000" w:sz="4" w:space="0"/>
              <w:right w:val="single" w:color="000000" w:sz="4" w:space="0"/>
            </w:tcBorders>
          </w:tcPr>
          <w:p>
            <w:pPr>
              <w:pStyle w:val="10"/>
              <w:spacing w:before="43"/>
              <w:ind w:left="180"/>
              <w:jc w:val="center"/>
              <w:rPr>
                <w:sz w:val="22"/>
                <w:szCs w:val="22"/>
              </w:rPr>
            </w:pPr>
            <w:r>
              <w:rPr>
                <w:sz w:val="22"/>
                <w:szCs w:val="22"/>
              </w:rPr>
              <w:t>公务用车</w:t>
            </w:r>
          </w:p>
          <w:p>
            <w:pPr>
              <w:pStyle w:val="10"/>
              <w:spacing w:before="56"/>
              <w:ind w:left="278"/>
              <w:jc w:val="center"/>
              <w:rPr>
                <w:sz w:val="22"/>
                <w:szCs w:val="22"/>
              </w:rPr>
            </w:pPr>
            <w:r>
              <w:rPr>
                <w:sz w:val="22"/>
                <w:szCs w:val="22"/>
              </w:rPr>
              <w:t>运行费</w:t>
            </w:r>
          </w:p>
        </w:tc>
        <w:tc>
          <w:tcPr>
            <w:tcW w:w="1150" w:type="dxa"/>
            <w:vMerge w:val="continue"/>
            <w:tcBorders>
              <w:top w:val="nil"/>
              <w:left w:val="single" w:color="000000" w:sz="4" w:space="0"/>
              <w:bottom w:val="single" w:color="000000" w:sz="4" w:space="0"/>
              <w:right w:val="single" w:color="000000" w:sz="4" w:space="0"/>
            </w:tcBorders>
          </w:tcPr>
          <w:p>
            <w:pPr>
              <w:jc w:val="center"/>
              <w:rPr>
                <w:sz w:val="22"/>
                <w:szCs w:val="22"/>
              </w:rPr>
            </w:pPr>
          </w:p>
        </w:tc>
        <w:tc>
          <w:tcPr>
            <w:tcW w:w="1151" w:type="dxa"/>
            <w:vMerge w:val="continue"/>
            <w:tcBorders>
              <w:top w:val="nil"/>
              <w:left w:val="single" w:color="000000" w:sz="4" w:space="0"/>
              <w:bottom w:val="single" w:color="000000" w:sz="4" w:space="0"/>
              <w:right w:val="single" w:color="000000" w:sz="4" w:space="0"/>
            </w:tcBorders>
          </w:tcPr>
          <w:p>
            <w:pPr>
              <w:jc w:val="center"/>
              <w:rPr>
                <w:sz w:val="22"/>
                <w:szCs w:val="22"/>
              </w:rPr>
            </w:pPr>
          </w:p>
        </w:tc>
        <w:tc>
          <w:tcPr>
            <w:tcW w:w="1151" w:type="dxa"/>
            <w:vMerge w:val="continue"/>
            <w:tcBorders>
              <w:top w:val="nil"/>
              <w:left w:val="single" w:color="000000" w:sz="4" w:space="0"/>
              <w:bottom w:val="single" w:color="000000" w:sz="4" w:space="0"/>
              <w:right w:val="single" w:color="000000" w:sz="4" w:space="0"/>
            </w:tcBorders>
          </w:tcPr>
          <w:p>
            <w:pPr>
              <w:jc w:val="center"/>
              <w:rPr>
                <w:sz w:val="22"/>
                <w:szCs w:val="22"/>
              </w:rPr>
            </w:pPr>
          </w:p>
        </w:tc>
        <w:tc>
          <w:tcPr>
            <w:tcW w:w="1151" w:type="dxa"/>
            <w:tcBorders>
              <w:top w:val="single" w:color="000000" w:sz="4" w:space="0"/>
              <w:left w:val="single" w:color="000000" w:sz="4" w:space="0"/>
              <w:bottom w:val="single" w:color="000000" w:sz="4" w:space="0"/>
              <w:right w:val="single" w:color="000000" w:sz="4" w:space="0"/>
            </w:tcBorders>
          </w:tcPr>
          <w:p>
            <w:pPr>
              <w:pStyle w:val="10"/>
              <w:spacing w:before="7"/>
              <w:jc w:val="center"/>
              <w:rPr>
                <w:sz w:val="22"/>
                <w:szCs w:val="22"/>
              </w:rPr>
            </w:pPr>
          </w:p>
          <w:p>
            <w:pPr>
              <w:pStyle w:val="10"/>
              <w:ind w:left="379"/>
              <w:jc w:val="center"/>
              <w:rPr>
                <w:sz w:val="22"/>
                <w:szCs w:val="22"/>
              </w:rPr>
            </w:pPr>
            <w:r>
              <w:rPr>
                <w:sz w:val="22"/>
                <w:szCs w:val="22"/>
              </w:rPr>
              <w:t>小计</w:t>
            </w:r>
          </w:p>
        </w:tc>
        <w:tc>
          <w:tcPr>
            <w:tcW w:w="1151" w:type="dxa"/>
            <w:tcBorders>
              <w:top w:val="single" w:color="000000" w:sz="4" w:space="0"/>
              <w:left w:val="single" w:color="000000" w:sz="4" w:space="0"/>
              <w:bottom w:val="single" w:color="000000" w:sz="4" w:space="0"/>
              <w:right w:val="single" w:color="000000" w:sz="4" w:space="0"/>
            </w:tcBorders>
          </w:tcPr>
          <w:p>
            <w:pPr>
              <w:pStyle w:val="10"/>
              <w:spacing w:before="43"/>
              <w:ind w:right="160"/>
              <w:jc w:val="center"/>
              <w:rPr>
                <w:sz w:val="22"/>
                <w:szCs w:val="22"/>
              </w:rPr>
            </w:pPr>
            <w:r>
              <w:rPr>
                <w:w w:val="95"/>
                <w:sz w:val="22"/>
                <w:szCs w:val="22"/>
              </w:rPr>
              <w:t>公务用车</w:t>
            </w:r>
          </w:p>
          <w:p>
            <w:pPr>
              <w:pStyle w:val="10"/>
              <w:spacing w:before="56"/>
              <w:ind w:right="259"/>
              <w:jc w:val="center"/>
              <w:rPr>
                <w:sz w:val="22"/>
                <w:szCs w:val="22"/>
              </w:rPr>
            </w:pPr>
            <w:r>
              <w:rPr>
                <w:w w:val="95"/>
                <w:sz w:val="22"/>
                <w:szCs w:val="22"/>
              </w:rPr>
              <w:t>购置费</w:t>
            </w:r>
          </w:p>
        </w:tc>
        <w:tc>
          <w:tcPr>
            <w:tcW w:w="1151" w:type="dxa"/>
            <w:tcBorders>
              <w:top w:val="single" w:color="000000" w:sz="4" w:space="0"/>
              <w:left w:val="single" w:color="000000" w:sz="4" w:space="0"/>
              <w:bottom w:val="single" w:color="000000" w:sz="4" w:space="0"/>
              <w:right w:val="single" w:color="000000" w:sz="4" w:space="0"/>
            </w:tcBorders>
          </w:tcPr>
          <w:p>
            <w:pPr>
              <w:pStyle w:val="10"/>
              <w:spacing w:before="43"/>
              <w:ind w:left="180"/>
              <w:jc w:val="center"/>
              <w:rPr>
                <w:sz w:val="22"/>
                <w:szCs w:val="22"/>
              </w:rPr>
            </w:pPr>
            <w:r>
              <w:rPr>
                <w:sz w:val="22"/>
                <w:szCs w:val="22"/>
              </w:rPr>
              <w:t>公务用车</w:t>
            </w:r>
          </w:p>
          <w:p>
            <w:pPr>
              <w:pStyle w:val="10"/>
              <w:spacing w:before="56"/>
              <w:ind w:left="278"/>
              <w:jc w:val="center"/>
              <w:rPr>
                <w:sz w:val="22"/>
                <w:szCs w:val="22"/>
              </w:rPr>
            </w:pPr>
            <w:r>
              <w:rPr>
                <w:sz w:val="22"/>
                <w:szCs w:val="22"/>
              </w:rPr>
              <w:t>运行费</w:t>
            </w:r>
          </w:p>
        </w:tc>
        <w:tc>
          <w:tcPr>
            <w:tcW w:w="1151" w:type="dxa"/>
            <w:vMerge w:val="continue"/>
            <w:tcBorders>
              <w:top w:val="nil"/>
              <w:left w:val="single" w:color="000000" w:sz="4" w:space="0"/>
              <w:bottom w:val="single" w:color="000000" w:sz="4" w:space="0"/>
            </w:tcBorders>
          </w:tcPr>
          <w:p>
            <w:pPr>
              <w:jc w:val="center"/>
              <w:rPr>
                <w:sz w:val="22"/>
                <w:szCs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3" w:hRule="atLeast"/>
          <w:jc w:val="center"/>
        </w:trPr>
        <w:tc>
          <w:tcPr>
            <w:tcW w:w="1151" w:type="dxa"/>
            <w:tcBorders>
              <w:top w:val="single" w:color="000000" w:sz="4" w:space="0"/>
              <w:bottom w:val="single" w:color="000000" w:sz="4" w:space="0"/>
              <w:right w:val="single" w:color="000000" w:sz="4" w:space="0"/>
            </w:tcBorders>
          </w:tcPr>
          <w:p>
            <w:pPr>
              <w:pStyle w:val="10"/>
              <w:spacing w:before="167"/>
              <w:ind w:left="13"/>
              <w:jc w:val="center"/>
              <w:rPr>
                <w:sz w:val="22"/>
                <w:szCs w:val="22"/>
              </w:rPr>
            </w:pPr>
            <w:r>
              <w:rPr>
                <w:w w:val="99"/>
                <w:sz w:val="22"/>
                <w:szCs w:val="22"/>
              </w:rPr>
              <w:t>1</w:t>
            </w:r>
          </w:p>
        </w:tc>
        <w:tc>
          <w:tcPr>
            <w:tcW w:w="1149" w:type="dxa"/>
            <w:tcBorders>
              <w:top w:val="single" w:color="000000" w:sz="4" w:space="0"/>
              <w:left w:val="single" w:color="000000" w:sz="4" w:space="0"/>
              <w:bottom w:val="single" w:color="000000" w:sz="4" w:space="0"/>
              <w:right w:val="single" w:color="000000" w:sz="4" w:space="0"/>
            </w:tcBorders>
          </w:tcPr>
          <w:p>
            <w:pPr>
              <w:pStyle w:val="10"/>
              <w:spacing w:before="167"/>
              <w:ind w:left="18"/>
              <w:jc w:val="center"/>
              <w:rPr>
                <w:sz w:val="22"/>
                <w:szCs w:val="22"/>
              </w:rPr>
            </w:pPr>
            <w:r>
              <w:rPr>
                <w:w w:val="99"/>
                <w:sz w:val="22"/>
                <w:szCs w:val="22"/>
              </w:rPr>
              <w:t>2</w:t>
            </w:r>
          </w:p>
        </w:tc>
        <w:tc>
          <w:tcPr>
            <w:tcW w:w="1150" w:type="dxa"/>
            <w:tcBorders>
              <w:top w:val="single" w:color="000000" w:sz="4" w:space="0"/>
              <w:left w:val="single" w:color="000000" w:sz="4" w:space="0"/>
              <w:bottom w:val="single" w:color="000000" w:sz="4" w:space="0"/>
              <w:right w:val="single" w:color="000000" w:sz="4" w:space="0"/>
            </w:tcBorders>
          </w:tcPr>
          <w:p>
            <w:pPr>
              <w:pStyle w:val="10"/>
              <w:spacing w:before="167"/>
              <w:ind w:left="18"/>
              <w:jc w:val="center"/>
              <w:rPr>
                <w:sz w:val="22"/>
                <w:szCs w:val="22"/>
              </w:rPr>
            </w:pPr>
            <w:r>
              <w:rPr>
                <w:w w:val="99"/>
                <w:sz w:val="22"/>
                <w:szCs w:val="22"/>
              </w:rPr>
              <w:t>3</w:t>
            </w:r>
          </w:p>
        </w:tc>
        <w:tc>
          <w:tcPr>
            <w:tcW w:w="1150" w:type="dxa"/>
            <w:tcBorders>
              <w:top w:val="single" w:color="000000" w:sz="4" w:space="0"/>
              <w:left w:val="single" w:color="000000" w:sz="4" w:space="0"/>
              <w:bottom w:val="single" w:color="000000" w:sz="4" w:space="0"/>
              <w:right w:val="single" w:color="000000" w:sz="4" w:space="0"/>
            </w:tcBorders>
          </w:tcPr>
          <w:p>
            <w:pPr>
              <w:pStyle w:val="10"/>
              <w:spacing w:before="167"/>
              <w:ind w:left="17"/>
              <w:jc w:val="center"/>
              <w:rPr>
                <w:sz w:val="22"/>
                <w:szCs w:val="22"/>
              </w:rPr>
            </w:pPr>
            <w:r>
              <w:rPr>
                <w:w w:val="99"/>
                <w:sz w:val="22"/>
                <w:szCs w:val="22"/>
              </w:rPr>
              <w:t>4</w:t>
            </w:r>
          </w:p>
        </w:tc>
        <w:tc>
          <w:tcPr>
            <w:tcW w:w="1151" w:type="dxa"/>
            <w:tcBorders>
              <w:top w:val="single" w:color="000000" w:sz="4" w:space="0"/>
              <w:left w:val="single" w:color="000000" w:sz="4" w:space="0"/>
              <w:bottom w:val="single" w:color="000000" w:sz="4" w:space="0"/>
              <w:right w:val="single" w:color="000000" w:sz="4" w:space="0"/>
            </w:tcBorders>
          </w:tcPr>
          <w:p>
            <w:pPr>
              <w:pStyle w:val="10"/>
              <w:spacing w:before="167"/>
              <w:ind w:left="15"/>
              <w:jc w:val="center"/>
              <w:rPr>
                <w:sz w:val="22"/>
                <w:szCs w:val="22"/>
              </w:rPr>
            </w:pPr>
            <w:r>
              <w:rPr>
                <w:w w:val="99"/>
                <w:sz w:val="22"/>
                <w:szCs w:val="22"/>
              </w:rPr>
              <w:t>5</w:t>
            </w:r>
          </w:p>
        </w:tc>
        <w:tc>
          <w:tcPr>
            <w:tcW w:w="1150" w:type="dxa"/>
            <w:tcBorders>
              <w:top w:val="single" w:color="000000" w:sz="4" w:space="0"/>
              <w:left w:val="single" w:color="000000" w:sz="4" w:space="0"/>
              <w:bottom w:val="single" w:color="000000" w:sz="4" w:space="0"/>
              <w:right w:val="single" w:color="000000" w:sz="4" w:space="0"/>
            </w:tcBorders>
          </w:tcPr>
          <w:p>
            <w:pPr>
              <w:pStyle w:val="10"/>
              <w:spacing w:before="167"/>
              <w:ind w:left="18"/>
              <w:jc w:val="center"/>
              <w:rPr>
                <w:sz w:val="22"/>
                <w:szCs w:val="22"/>
              </w:rPr>
            </w:pPr>
            <w:r>
              <w:rPr>
                <w:w w:val="99"/>
                <w:sz w:val="22"/>
                <w:szCs w:val="22"/>
              </w:rPr>
              <w:t>6</w:t>
            </w:r>
          </w:p>
        </w:tc>
        <w:tc>
          <w:tcPr>
            <w:tcW w:w="1151" w:type="dxa"/>
            <w:tcBorders>
              <w:top w:val="single" w:color="000000" w:sz="4" w:space="0"/>
              <w:left w:val="single" w:color="000000" w:sz="4" w:space="0"/>
              <w:bottom w:val="single" w:color="000000" w:sz="4" w:space="0"/>
              <w:right w:val="single" w:color="000000" w:sz="4" w:space="0"/>
            </w:tcBorders>
          </w:tcPr>
          <w:p>
            <w:pPr>
              <w:pStyle w:val="10"/>
              <w:spacing w:before="167"/>
              <w:ind w:left="16"/>
              <w:jc w:val="center"/>
              <w:rPr>
                <w:sz w:val="22"/>
                <w:szCs w:val="22"/>
              </w:rPr>
            </w:pPr>
            <w:r>
              <w:rPr>
                <w:w w:val="99"/>
                <w:sz w:val="22"/>
                <w:szCs w:val="22"/>
              </w:rPr>
              <w:t>7</w:t>
            </w:r>
          </w:p>
        </w:tc>
        <w:tc>
          <w:tcPr>
            <w:tcW w:w="1151" w:type="dxa"/>
            <w:tcBorders>
              <w:top w:val="single" w:color="000000" w:sz="4" w:space="0"/>
              <w:left w:val="single" w:color="000000" w:sz="4" w:space="0"/>
              <w:bottom w:val="single" w:color="000000" w:sz="4" w:space="0"/>
              <w:right w:val="single" w:color="000000" w:sz="4" w:space="0"/>
            </w:tcBorders>
          </w:tcPr>
          <w:p>
            <w:pPr>
              <w:pStyle w:val="10"/>
              <w:spacing w:before="167"/>
              <w:ind w:left="18"/>
              <w:jc w:val="center"/>
              <w:rPr>
                <w:sz w:val="22"/>
                <w:szCs w:val="22"/>
              </w:rPr>
            </w:pPr>
            <w:r>
              <w:rPr>
                <w:w w:val="99"/>
                <w:sz w:val="22"/>
                <w:szCs w:val="22"/>
              </w:rPr>
              <w:t>8</w:t>
            </w:r>
          </w:p>
        </w:tc>
        <w:tc>
          <w:tcPr>
            <w:tcW w:w="1151" w:type="dxa"/>
            <w:tcBorders>
              <w:top w:val="single" w:color="000000" w:sz="4" w:space="0"/>
              <w:left w:val="single" w:color="000000" w:sz="4" w:space="0"/>
              <w:bottom w:val="single" w:color="000000" w:sz="4" w:space="0"/>
              <w:right w:val="single" w:color="000000" w:sz="4" w:space="0"/>
            </w:tcBorders>
          </w:tcPr>
          <w:p>
            <w:pPr>
              <w:pStyle w:val="10"/>
              <w:spacing w:before="167"/>
              <w:ind w:left="16"/>
              <w:jc w:val="center"/>
              <w:rPr>
                <w:sz w:val="22"/>
                <w:szCs w:val="22"/>
              </w:rPr>
            </w:pPr>
            <w:r>
              <w:rPr>
                <w:w w:val="99"/>
                <w:sz w:val="22"/>
                <w:szCs w:val="22"/>
              </w:rPr>
              <w:t>9</w:t>
            </w:r>
          </w:p>
        </w:tc>
        <w:tc>
          <w:tcPr>
            <w:tcW w:w="1151" w:type="dxa"/>
            <w:tcBorders>
              <w:top w:val="single" w:color="000000" w:sz="4" w:space="0"/>
              <w:left w:val="single" w:color="000000" w:sz="4" w:space="0"/>
              <w:bottom w:val="single" w:color="000000" w:sz="4" w:space="0"/>
              <w:right w:val="single" w:color="000000" w:sz="4" w:space="0"/>
            </w:tcBorders>
          </w:tcPr>
          <w:p>
            <w:pPr>
              <w:pStyle w:val="10"/>
              <w:spacing w:before="167"/>
              <w:ind w:left="458" w:right="440"/>
              <w:jc w:val="center"/>
              <w:rPr>
                <w:sz w:val="22"/>
                <w:szCs w:val="22"/>
              </w:rPr>
            </w:pPr>
            <w:r>
              <w:rPr>
                <w:sz w:val="22"/>
                <w:szCs w:val="22"/>
              </w:rPr>
              <w:t>10</w:t>
            </w:r>
          </w:p>
        </w:tc>
        <w:tc>
          <w:tcPr>
            <w:tcW w:w="1151" w:type="dxa"/>
            <w:tcBorders>
              <w:top w:val="single" w:color="000000" w:sz="4" w:space="0"/>
              <w:left w:val="single" w:color="000000" w:sz="4" w:space="0"/>
              <w:bottom w:val="single" w:color="000000" w:sz="4" w:space="0"/>
              <w:right w:val="single" w:color="000000" w:sz="4" w:space="0"/>
            </w:tcBorders>
          </w:tcPr>
          <w:p>
            <w:pPr>
              <w:pStyle w:val="10"/>
              <w:spacing w:before="167"/>
              <w:ind w:left="459" w:right="439"/>
              <w:jc w:val="center"/>
              <w:rPr>
                <w:sz w:val="22"/>
                <w:szCs w:val="22"/>
              </w:rPr>
            </w:pPr>
            <w:r>
              <w:rPr>
                <w:sz w:val="22"/>
                <w:szCs w:val="22"/>
              </w:rPr>
              <w:t>11</w:t>
            </w:r>
          </w:p>
        </w:tc>
        <w:tc>
          <w:tcPr>
            <w:tcW w:w="1151" w:type="dxa"/>
            <w:tcBorders>
              <w:top w:val="single" w:color="000000" w:sz="4" w:space="0"/>
              <w:left w:val="single" w:color="000000" w:sz="4" w:space="0"/>
              <w:bottom w:val="single" w:color="000000" w:sz="4" w:space="0"/>
            </w:tcBorders>
          </w:tcPr>
          <w:p>
            <w:pPr>
              <w:pStyle w:val="10"/>
              <w:spacing w:before="167"/>
              <w:ind w:left="459" w:right="437"/>
              <w:jc w:val="center"/>
              <w:rPr>
                <w:sz w:val="22"/>
                <w:szCs w:val="22"/>
              </w:rPr>
            </w:pPr>
            <w:r>
              <w:rPr>
                <w:sz w:val="22"/>
                <w:szCs w:val="22"/>
              </w:rPr>
              <w:t>12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869" w:hRule="atLeast"/>
          <w:jc w:val="center"/>
        </w:trPr>
        <w:tc>
          <w:tcPr>
            <w:tcW w:w="1151" w:type="dxa"/>
            <w:tcBorders>
              <w:top w:val="single" w:color="000000" w:sz="4" w:space="0"/>
              <w:right w:val="single" w:color="000000" w:sz="4" w:space="0"/>
            </w:tcBorders>
          </w:tcPr>
          <w:p>
            <w:pPr>
              <w:pStyle w:val="10"/>
              <w:spacing w:before="5"/>
              <w:jc w:val="center"/>
              <w:rPr>
                <w:sz w:val="22"/>
                <w:szCs w:val="22"/>
              </w:rPr>
            </w:pPr>
          </w:p>
          <w:p>
            <w:pPr>
              <w:pStyle w:val="10"/>
              <w:ind w:left="14"/>
              <w:jc w:val="center"/>
              <w:rPr>
                <w:rFonts w:hint="default" w:eastAsia="宋体"/>
                <w:sz w:val="22"/>
                <w:szCs w:val="22"/>
                <w:lang w:val="en-US" w:eastAsia="zh-CN"/>
              </w:rPr>
            </w:pPr>
            <w:r>
              <w:rPr>
                <w:rFonts w:hint="eastAsia"/>
                <w:sz w:val="22"/>
                <w:szCs w:val="22"/>
                <w:lang w:val="en-US" w:eastAsia="zh-CN"/>
              </w:rPr>
              <w:t>645500</w:t>
            </w:r>
          </w:p>
        </w:tc>
        <w:tc>
          <w:tcPr>
            <w:tcW w:w="1149" w:type="dxa"/>
            <w:tcBorders>
              <w:top w:val="single" w:color="000000" w:sz="4" w:space="0"/>
              <w:left w:val="single" w:color="000000" w:sz="4" w:space="0"/>
              <w:right w:val="single" w:color="000000" w:sz="4" w:space="0"/>
            </w:tcBorders>
          </w:tcPr>
          <w:p>
            <w:pPr>
              <w:pStyle w:val="10"/>
              <w:spacing w:before="5"/>
              <w:jc w:val="center"/>
              <w:rPr>
                <w:sz w:val="22"/>
                <w:szCs w:val="22"/>
              </w:rPr>
            </w:pPr>
          </w:p>
          <w:p>
            <w:pPr>
              <w:pStyle w:val="10"/>
              <w:ind w:left="20"/>
              <w:jc w:val="center"/>
              <w:rPr>
                <w:sz w:val="22"/>
                <w:szCs w:val="22"/>
              </w:rPr>
            </w:pPr>
            <w:r>
              <w:rPr>
                <w:w w:val="99"/>
                <w:sz w:val="22"/>
                <w:szCs w:val="22"/>
              </w:rPr>
              <w:t>0</w:t>
            </w:r>
          </w:p>
        </w:tc>
        <w:tc>
          <w:tcPr>
            <w:tcW w:w="1150" w:type="dxa"/>
            <w:tcBorders>
              <w:top w:val="single" w:color="000000" w:sz="4" w:space="0"/>
              <w:left w:val="single" w:color="000000" w:sz="4" w:space="0"/>
              <w:right w:val="single" w:color="000000" w:sz="4" w:space="0"/>
            </w:tcBorders>
          </w:tcPr>
          <w:p>
            <w:pPr>
              <w:pStyle w:val="10"/>
              <w:ind w:right="-15"/>
              <w:jc w:val="center"/>
              <w:rPr>
                <w:rFonts w:hint="eastAsia"/>
                <w:sz w:val="22"/>
                <w:szCs w:val="22"/>
                <w:lang w:val="en-US" w:eastAsia="zh-CN"/>
              </w:rPr>
            </w:pPr>
          </w:p>
          <w:p>
            <w:pPr>
              <w:pStyle w:val="10"/>
              <w:ind w:right="-15"/>
              <w:jc w:val="center"/>
              <w:rPr>
                <w:rFonts w:hint="eastAsia"/>
                <w:sz w:val="22"/>
                <w:szCs w:val="22"/>
                <w:lang w:val="en-US" w:eastAsia="zh-CN"/>
              </w:rPr>
            </w:pPr>
            <w:r>
              <w:rPr>
                <w:rFonts w:hint="eastAsia"/>
                <w:sz w:val="22"/>
                <w:szCs w:val="22"/>
                <w:lang w:val="en-US" w:eastAsia="zh-CN"/>
              </w:rPr>
              <w:t>500500</w:t>
            </w:r>
          </w:p>
          <w:p>
            <w:pPr>
              <w:pStyle w:val="10"/>
              <w:ind w:right="-15"/>
              <w:jc w:val="center"/>
              <w:rPr>
                <w:rFonts w:hint="default"/>
                <w:sz w:val="22"/>
                <w:szCs w:val="22"/>
                <w:lang w:val="en-US" w:eastAsia="zh-CN"/>
              </w:rPr>
            </w:pPr>
          </w:p>
        </w:tc>
        <w:tc>
          <w:tcPr>
            <w:tcW w:w="1150" w:type="dxa"/>
            <w:tcBorders>
              <w:top w:val="single" w:color="000000" w:sz="4" w:space="0"/>
              <w:left w:val="single" w:color="000000" w:sz="4" w:space="0"/>
              <w:right w:val="single" w:color="000000" w:sz="4" w:space="0"/>
            </w:tcBorders>
          </w:tcPr>
          <w:p>
            <w:pPr>
              <w:pStyle w:val="10"/>
              <w:ind w:right="-15"/>
              <w:jc w:val="center"/>
              <w:rPr>
                <w:rFonts w:hint="eastAsia"/>
                <w:sz w:val="22"/>
                <w:szCs w:val="22"/>
                <w:lang w:val="en-US" w:eastAsia="zh-CN"/>
              </w:rPr>
            </w:pPr>
          </w:p>
          <w:p>
            <w:pPr>
              <w:pStyle w:val="10"/>
              <w:ind w:right="-15"/>
              <w:jc w:val="center"/>
              <w:rPr>
                <w:rFonts w:hint="eastAsia"/>
                <w:sz w:val="22"/>
                <w:szCs w:val="22"/>
                <w:lang w:val="en-US" w:eastAsia="zh-CN"/>
              </w:rPr>
            </w:pPr>
            <w:r>
              <w:rPr>
                <w:rFonts w:hint="eastAsia"/>
                <w:sz w:val="22"/>
                <w:szCs w:val="22"/>
                <w:lang w:val="en-US" w:eastAsia="zh-CN"/>
              </w:rPr>
              <w:t>0</w:t>
            </w:r>
          </w:p>
        </w:tc>
        <w:tc>
          <w:tcPr>
            <w:tcW w:w="1151" w:type="dxa"/>
            <w:tcBorders>
              <w:top w:val="single" w:color="000000" w:sz="4" w:space="0"/>
              <w:left w:val="single" w:color="000000" w:sz="4" w:space="0"/>
              <w:right w:val="single" w:color="000000" w:sz="4" w:space="0"/>
            </w:tcBorders>
          </w:tcPr>
          <w:p>
            <w:pPr>
              <w:pStyle w:val="10"/>
              <w:spacing w:before="5"/>
              <w:jc w:val="center"/>
              <w:rPr>
                <w:sz w:val="22"/>
                <w:szCs w:val="22"/>
              </w:rPr>
            </w:pPr>
          </w:p>
          <w:p>
            <w:pPr>
              <w:pStyle w:val="10"/>
              <w:ind w:left="19"/>
              <w:jc w:val="center"/>
              <w:rPr>
                <w:rFonts w:hint="default" w:eastAsia="宋体"/>
                <w:sz w:val="22"/>
                <w:szCs w:val="22"/>
                <w:lang w:val="en-US" w:eastAsia="zh-CN"/>
              </w:rPr>
            </w:pPr>
            <w:r>
              <w:rPr>
                <w:rFonts w:hint="eastAsia"/>
                <w:sz w:val="22"/>
                <w:szCs w:val="22"/>
                <w:lang w:val="en-US" w:eastAsia="zh-CN"/>
              </w:rPr>
              <w:t>500500</w:t>
            </w:r>
          </w:p>
        </w:tc>
        <w:tc>
          <w:tcPr>
            <w:tcW w:w="1150" w:type="dxa"/>
            <w:tcBorders>
              <w:top w:val="single" w:color="000000" w:sz="4" w:space="0"/>
              <w:left w:val="single" w:color="000000" w:sz="4" w:space="0"/>
              <w:right w:val="single" w:color="000000" w:sz="4" w:space="0"/>
            </w:tcBorders>
          </w:tcPr>
          <w:p>
            <w:pPr>
              <w:pStyle w:val="10"/>
              <w:spacing w:before="5"/>
              <w:jc w:val="center"/>
              <w:rPr>
                <w:sz w:val="22"/>
                <w:szCs w:val="22"/>
              </w:rPr>
            </w:pPr>
          </w:p>
          <w:p>
            <w:pPr>
              <w:pStyle w:val="10"/>
              <w:ind w:right="-15"/>
              <w:jc w:val="center"/>
              <w:rPr>
                <w:rFonts w:hint="default" w:eastAsia="宋体"/>
                <w:sz w:val="22"/>
                <w:szCs w:val="22"/>
                <w:lang w:val="en-US" w:eastAsia="zh-CN"/>
              </w:rPr>
            </w:pPr>
            <w:r>
              <w:rPr>
                <w:rFonts w:hint="eastAsia"/>
                <w:sz w:val="22"/>
                <w:szCs w:val="22"/>
                <w:lang w:val="en-US" w:eastAsia="zh-CN"/>
              </w:rPr>
              <w:t>145000</w:t>
            </w:r>
          </w:p>
        </w:tc>
        <w:tc>
          <w:tcPr>
            <w:tcW w:w="1151" w:type="dxa"/>
            <w:tcBorders>
              <w:top w:val="single" w:color="000000" w:sz="4" w:space="0"/>
              <w:left w:val="single" w:color="000000" w:sz="4" w:space="0"/>
              <w:right w:val="single" w:color="000000" w:sz="4" w:space="0"/>
            </w:tcBorders>
          </w:tcPr>
          <w:p>
            <w:pPr>
              <w:pStyle w:val="10"/>
              <w:spacing w:before="5"/>
              <w:jc w:val="center"/>
              <w:rPr>
                <w:sz w:val="22"/>
                <w:szCs w:val="22"/>
              </w:rPr>
            </w:pPr>
          </w:p>
          <w:p>
            <w:pPr>
              <w:pStyle w:val="10"/>
              <w:jc w:val="center"/>
              <w:rPr>
                <w:rFonts w:hint="default" w:eastAsia="宋体"/>
                <w:sz w:val="22"/>
                <w:szCs w:val="22"/>
                <w:lang w:val="en-US" w:eastAsia="zh-CN"/>
              </w:rPr>
            </w:pPr>
            <w:r>
              <w:rPr>
                <w:rFonts w:hint="eastAsia"/>
                <w:sz w:val="22"/>
                <w:szCs w:val="22"/>
                <w:lang w:val="en-US" w:eastAsia="zh-CN"/>
              </w:rPr>
              <w:t>644820</w:t>
            </w:r>
          </w:p>
        </w:tc>
        <w:tc>
          <w:tcPr>
            <w:tcW w:w="1151" w:type="dxa"/>
            <w:tcBorders>
              <w:top w:val="single" w:color="000000" w:sz="4" w:space="0"/>
              <w:left w:val="single" w:color="000000" w:sz="4" w:space="0"/>
              <w:right w:val="single" w:color="000000" w:sz="4" w:space="0"/>
            </w:tcBorders>
          </w:tcPr>
          <w:p>
            <w:pPr>
              <w:pStyle w:val="10"/>
              <w:spacing w:before="5"/>
              <w:jc w:val="center"/>
              <w:rPr>
                <w:sz w:val="22"/>
                <w:szCs w:val="22"/>
              </w:rPr>
            </w:pPr>
          </w:p>
          <w:p>
            <w:pPr>
              <w:pStyle w:val="10"/>
              <w:ind w:left="741"/>
              <w:jc w:val="center"/>
              <w:rPr>
                <w:sz w:val="22"/>
                <w:szCs w:val="22"/>
              </w:rPr>
            </w:pPr>
            <w:r>
              <w:rPr>
                <w:w w:val="95"/>
                <w:sz w:val="22"/>
                <w:szCs w:val="22"/>
              </w:rPr>
              <w:t>0.00</w:t>
            </w:r>
          </w:p>
        </w:tc>
        <w:tc>
          <w:tcPr>
            <w:tcW w:w="1151" w:type="dxa"/>
            <w:tcBorders>
              <w:top w:val="single" w:color="000000" w:sz="4" w:space="0"/>
              <w:left w:val="single" w:color="000000" w:sz="4" w:space="0"/>
              <w:right w:val="single" w:color="000000" w:sz="4" w:space="0"/>
            </w:tcBorders>
          </w:tcPr>
          <w:p>
            <w:pPr>
              <w:pStyle w:val="10"/>
              <w:spacing w:before="5"/>
              <w:jc w:val="center"/>
              <w:rPr>
                <w:sz w:val="22"/>
                <w:szCs w:val="22"/>
              </w:rPr>
            </w:pPr>
          </w:p>
          <w:p>
            <w:pPr>
              <w:pStyle w:val="10"/>
              <w:ind w:right="-15"/>
              <w:jc w:val="center"/>
              <w:rPr>
                <w:rFonts w:hint="default" w:eastAsia="宋体"/>
                <w:sz w:val="22"/>
                <w:szCs w:val="22"/>
                <w:lang w:val="en-US" w:eastAsia="zh-CN"/>
              </w:rPr>
            </w:pPr>
            <w:r>
              <w:rPr>
                <w:rFonts w:hint="eastAsia"/>
                <w:sz w:val="22"/>
                <w:szCs w:val="22"/>
                <w:lang w:val="en-US" w:eastAsia="zh-CN"/>
              </w:rPr>
              <w:t>500000</w:t>
            </w:r>
          </w:p>
        </w:tc>
        <w:tc>
          <w:tcPr>
            <w:tcW w:w="1151" w:type="dxa"/>
            <w:tcBorders>
              <w:top w:val="single" w:color="000000" w:sz="4" w:space="0"/>
              <w:left w:val="single" w:color="000000" w:sz="4" w:space="0"/>
              <w:right w:val="single" w:color="000000" w:sz="4" w:space="0"/>
            </w:tcBorders>
          </w:tcPr>
          <w:p>
            <w:pPr>
              <w:pStyle w:val="10"/>
              <w:spacing w:before="5"/>
              <w:jc w:val="center"/>
              <w:rPr>
                <w:sz w:val="22"/>
                <w:szCs w:val="22"/>
              </w:rPr>
            </w:pPr>
          </w:p>
          <w:p>
            <w:pPr>
              <w:pStyle w:val="10"/>
              <w:ind w:left="741"/>
              <w:jc w:val="center"/>
              <w:rPr>
                <w:sz w:val="22"/>
                <w:szCs w:val="22"/>
              </w:rPr>
            </w:pPr>
            <w:r>
              <w:rPr>
                <w:w w:val="95"/>
                <w:sz w:val="22"/>
                <w:szCs w:val="22"/>
              </w:rPr>
              <w:t>0.00</w:t>
            </w:r>
          </w:p>
        </w:tc>
        <w:tc>
          <w:tcPr>
            <w:tcW w:w="1151" w:type="dxa"/>
            <w:tcBorders>
              <w:top w:val="single" w:color="000000" w:sz="4" w:space="0"/>
              <w:left w:val="single" w:color="000000" w:sz="4" w:space="0"/>
              <w:right w:val="single" w:color="000000" w:sz="4" w:space="0"/>
            </w:tcBorders>
          </w:tcPr>
          <w:p>
            <w:pPr>
              <w:pStyle w:val="10"/>
              <w:spacing w:before="5"/>
              <w:jc w:val="center"/>
              <w:rPr>
                <w:sz w:val="22"/>
                <w:szCs w:val="22"/>
              </w:rPr>
            </w:pPr>
          </w:p>
          <w:p>
            <w:pPr>
              <w:pStyle w:val="10"/>
              <w:ind w:right="-15"/>
              <w:jc w:val="center"/>
              <w:rPr>
                <w:rFonts w:hint="default" w:eastAsia="宋体"/>
                <w:sz w:val="22"/>
                <w:szCs w:val="22"/>
                <w:lang w:val="en-US" w:eastAsia="zh-CN"/>
              </w:rPr>
            </w:pPr>
            <w:r>
              <w:rPr>
                <w:rFonts w:hint="eastAsia"/>
                <w:sz w:val="22"/>
                <w:szCs w:val="22"/>
                <w:lang w:val="en-US" w:eastAsia="zh-CN"/>
              </w:rPr>
              <w:t>500000</w:t>
            </w:r>
          </w:p>
        </w:tc>
        <w:tc>
          <w:tcPr>
            <w:tcW w:w="1151" w:type="dxa"/>
            <w:tcBorders>
              <w:top w:val="single" w:color="000000" w:sz="4" w:space="0"/>
              <w:left w:val="single" w:color="000000" w:sz="4" w:space="0"/>
            </w:tcBorders>
          </w:tcPr>
          <w:p>
            <w:pPr>
              <w:pStyle w:val="10"/>
              <w:spacing w:before="5"/>
              <w:jc w:val="center"/>
              <w:rPr>
                <w:sz w:val="22"/>
                <w:szCs w:val="22"/>
              </w:rPr>
            </w:pPr>
          </w:p>
          <w:p>
            <w:pPr>
              <w:pStyle w:val="10"/>
              <w:ind w:right="-15"/>
              <w:jc w:val="center"/>
              <w:rPr>
                <w:rFonts w:hint="default" w:eastAsia="宋体"/>
                <w:sz w:val="22"/>
                <w:szCs w:val="22"/>
                <w:lang w:val="en-US" w:eastAsia="zh-CN"/>
              </w:rPr>
            </w:pPr>
            <w:r>
              <w:rPr>
                <w:rFonts w:hint="eastAsia"/>
                <w:sz w:val="22"/>
                <w:szCs w:val="22"/>
                <w:lang w:val="en-US" w:eastAsia="zh-CN"/>
              </w:rPr>
              <w:t>144820</w:t>
            </w:r>
          </w:p>
        </w:tc>
      </w:tr>
    </w:tbl>
    <w:p>
      <w:pPr>
        <w:spacing w:before="2" w:line="240" w:lineRule="auto"/>
        <w:rPr>
          <w:sz w:val="22"/>
          <w:szCs w:val="22"/>
        </w:rPr>
      </w:pPr>
    </w:p>
    <w:p>
      <w:pPr>
        <w:spacing w:before="0" w:line="292" w:lineRule="auto"/>
        <w:ind w:left="286" w:right="194" w:firstLine="0"/>
        <w:jc w:val="left"/>
        <w:rPr>
          <w:sz w:val="22"/>
          <w:szCs w:val="22"/>
        </w:rPr>
      </w:pPr>
      <w:r>
        <w:rPr>
          <w:spacing w:val="-5"/>
          <w:w w:val="95"/>
          <w:sz w:val="22"/>
          <w:szCs w:val="22"/>
        </w:rPr>
        <w:t xml:space="preserve">注：本表反映部门本年度“三公”经费支出预决算情况。其中，预算数为“三公”经费年初预算数，决算数是包括当年一般公共预算财政拨款和以前年度结转      </w:t>
      </w:r>
      <w:r>
        <w:rPr>
          <w:spacing w:val="-5"/>
          <w:sz w:val="22"/>
          <w:szCs w:val="22"/>
        </w:rPr>
        <w:t>资金安排的实际支出。本表金额转换为万元时，因四舍五入可能存在尾差。</w:t>
      </w:r>
    </w:p>
    <w:p>
      <w:pPr>
        <w:spacing w:after="0" w:line="292" w:lineRule="auto"/>
        <w:jc w:val="left"/>
        <w:rPr>
          <w:sz w:val="20"/>
        </w:rPr>
        <w:sectPr>
          <w:type w:val="continuous"/>
          <w:pgSz w:w="16840" w:h="11910" w:orient="landscape"/>
          <w:pgMar w:top="1580" w:right="1280" w:bottom="280" w:left="1300" w:header="720" w:footer="720" w:gutter="0"/>
          <w:pgBorders>
            <w:top w:val="none" w:sz="0" w:space="0"/>
            <w:left w:val="none" w:sz="0" w:space="0"/>
            <w:bottom w:val="none" w:sz="0" w:space="0"/>
            <w:right w:val="none" w:sz="0" w:space="0"/>
          </w:pgBorders>
          <w:cols w:space="720" w:num="1"/>
        </w:sectPr>
      </w:pPr>
    </w:p>
    <w:p>
      <w:pPr>
        <w:spacing w:before="0" w:line="240" w:lineRule="auto"/>
        <w:rPr>
          <w:sz w:val="20"/>
        </w:rPr>
      </w:pPr>
    </w:p>
    <w:p>
      <w:pPr>
        <w:spacing w:before="0" w:line="240" w:lineRule="auto"/>
        <w:rPr>
          <w:sz w:val="20"/>
        </w:rPr>
      </w:pPr>
    </w:p>
    <w:p>
      <w:pPr>
        <w:spacing w:before="5" w:line="240" w:lineRule="auto"/>
        <w:rPr>
          <w:sz w:val="15"/>
        </w:rPr>
      </w:pPr>
    </w:p>
    <w:p>
      <w:pPr>
        <w:spacing w:after="0" w:line="240" w:lineRule="auto"/>
        <w:jc w:val="center"/>
        <w:rPr>
          <w:sz w:val="40"/>
          <w:szCs w:val="40"/>
        </w:rPr>
        <w:sectPr>
          <w:pgSz w:w="16840" w:h="11910" w:orient="landscape"/>
          <w:pgMar w:top="1100" w:right="1280" w:bottom="900" w:left="1300" w:header="0" w:footer="720" w:gutter="0"/>
          <w:pgBorders>
            <w:top w:val="none" w:sz="0" w:space="0"/>
            <w:left w:val="none" w:sz="0" w:space="0"/>
            <w:bottom w:val="none" w:sz="0" w:space="0"/>
            <w:right w:val="none" w:sz="0" w:space="0"/>
          </w:pgBorders>
          <w:cols w:space="720" w:num="1"/>
        </w:sectPr>
      </w:pPr>
    </w:p>
    <w:p>
      <w:pPr>
        <w:pStyle w:val="3"/>
        <w:spacing w:before="102"/>
        <w:jc w:val="center"/>
        <w:rPr>
          <w:rFonts w:hint="eastAsia" w:ascii="PMingLiU" w:eastAsia="PMingLiU"/>
          <w:sz w:val="40"/>
          <w:szCs w:val="40"/>
        </w:rPr>
      </w:pPr>
      <w:r>
        <w:rPr>
          <w:rFonts w:hint="eastAsia" w:ascii="PMingLiU" w:eastAsia="宋体"/>
          <w:sz w:val="40"/>
          <w:szCs w:val="40"/>
          <w:lang w:val="en-US" w:eastAsia="zh-CN"/>
        </w:rPr>
        <w:t xml:space="preserve">                          </w:t>
      </w:r>
      <w:r>
        <w:rPr>
          <w:rFonts w:hint="eastAsia" w:ascii="PMingLiU" w:eastAsia="PMingLiU"/>
          <w:sz w:val="40"/>
          <w:szCs w:val="40"/>
        </w:rPr>
        <w:t>政府性基金预算财政拨款收入支出决算表</w:t>
      </w:r>
    </w:p>
    <w:p>
      <w:pPr>
        <w:pStyle w:val="3"/>
        <w:rPr>
          <w:rFonts w:ascii="PMingLiU"/>
          <w:sz w:val="22"/>
          <w:szCs w:val="22"/>
        </w:rPr>
      </w:pPr>
      <w:r>
        <w:rPr>
          <w:sz w:val="22"/>
          <w:szCs w:val="22"/>
        </w:rPr>
        <w:br w:type="column"/>
      </w:r>
    </w:p>
    <w:p>
      <w:pPr>
        <w:pStyle w:val="3"/>
        <w:spacing w:before="8"/>
        <w:rPr>
          <w:rFonts w:ascii="PMingLiU"/>
          <w:sz w:val="22"/>
          <w:szCs w:val="22"/>
        </w:rPr>
      </w:pPr>
    </w:p>
    <w:p>
      <w:pPr>
        <w:spacing w:before="1"/>
        <w:ind w:left="0" w:right="160" w:firstLine="0"/>
        <w:jc w:val="right"/>
        <w:rPr>
          <w:sz w:val="22"/>
          <w:szCs w:val="22"/>
        </w:rPr>
      </w:pPr>
      <w:r>
        <w:rPr>
          <w:sz w:val="22"/>
          <w:szCs w:val="22"/>
        </w:rPr>
        <w:t>公开 08 表</w:t>
      </w:r>
    </w:p>
    <w:p>
      <w:pPr>
        <w:spacing w:after="0"/>
        <w:jc w:val="right"/>
        <w:rPr>
          <w:sz w:val="22"/>
          <w:szCs w:val="22"/>
        </w:rPr>
        <w:sectPr>
          <w:type w:val="continuous"/>
          <w:pgSz w:w="16840" w:h="11910" w:orient="landscape"/>
          <w:pgMar w:top="1580" w:right="1280" w:bottom="280" w:left="1300" w:header="720" w:footer="720" w:gutter="0"/>
          <w:pgBorders>
            <w:top w:val="none" w:sz="0" w:space="0"/>
            <w:left w:val="none" w:sz="0" w:space="0"/>
            <w:bottom w:val="none" w:sz="0" w:space="0"/>
            <w:right w:val="none" w:sz="0" w:space="0"/>
          </w:pgBorders>
          <w:cols w:equalWidth="0" w:num="2">
            <w:col w:w="9999" w:space="40"/>
            <w:col w:w="4221"/>
          </w:cols>
        </w:sectPr>
      </w:pPr>
    </w:p>
    <w:p>
      <w:pPr>
        <w:tabs>
          <w:tab w:val="left" w:pos="6415"/>
          <w:tab w:val="left" w:pos="13097"/>
        </w:tabs>
        <w:spacing w:before="72" w:after="27"/>
        <w:ind w:left="140" w:right="0" w:firstLine="0"/>
        <w:jc w:val="left"/>
        <w:rPr>
          <w:sz w:val="22"/>
          <w:szCs w:val="22"/>
        </w:rPr>
      </w:pPr>
      <w:r>
        <w:rPr>
          <w:sz w:val="22"/>
          <w:szCs w:val="22"/>
        </w:rPr>
        <w:t>部门：</w:t>
      </w:r>
      <w:r>
        <w:rPr>
          <w:rFonts w:hint="eastAsia" w:ascii="宋体" w:hAnsi="宋体" w:eastAsia="宋体" w:cs="宋体"/>
          <w:i w:val="0"/>
          <w:iCs w:val="0"/>
          <w:color w:val="000000"/>
          <w:kern w:val="0"/>
          <w:sz w:val="22"/>
          <w:szCs w:val="22"/>
          <w:u w:val="none"/>
          <w:lang w:val="en-US" w:eastAsia="zh-CN" w:bidi="ar"/>
        </w:rPr>
        <w:t>唐河县人大</w:t>
      </w:r>
      <w:r>
        <w:rPr>
          <w:rFonts w:hint="eastAsia" w:cs="宋体"/>
          <w:i w:val="0"/>
          <w:iCs w:val="0"/>
          <w:color w:val="000000"/>
          <w:kern w:val="0"/>
          <w:sz w:val="22"/>
          <w:szCs w:val="22"/>
          <w:u w:val="none"/>
          <w:lang w:val="en-US" w:eastAsia="zh-CN" w:bidi="ar"/>
        </w:rPr>
        <w:t>常委会</w:t>
      </w:r>
      <w:r>
        <w:rPr>
          <w:sz w:val="22"/>
          <w:szCs w:val="22"/>
        </w:rPr>
        <w:tab/>
      </w:r>
      <w:r>
        <w:rPr>
          <w:sz w:val="22"/>
          <w:szCs w:val="22"/>
        </w:rPr>
        <w:t>20</w:t>
      </w:r>
      <w:r>
        <w:rPr>
          <w:rFonts w:hint="eastAsia"/>
          <w:sz w:val="22"/>
          <w:szCs w:val="22"/>
          <w:lang w:val="en-US" w:eastAsia="zh-CN"/>
        </w:rPr>
        <w:t>20</w:t>
      </w:r>
      <w:r>
        <w:rPr>
          <w:spacing w:val="-52"/>
          <w:sz w:val="22"/>
          <w:szCs w:val="22"/>
        </w:rPr>
        <w:t xml:space="preserve"> </w:t>
      </w:r>
      <w:r>
        <w:rPr>
          <w:sz w:val="22"/>
          <w:szCs w:val="22"/>
        </w:rPr>
        <w:t>年</w:t>
      </w:r>
      <w:r>
        <w:rPr>
          <w:sz w:val="22"/>
          <w:szCs w:val="22"/>
        </w:rPr>
        <w:tab/>
      </w:r>
      <w:r>
        <w:rPr>
          <w:sz w:val="22"/>
          <w:szCs w:val="22"/>
        </w:rPr>
        <w:t>单位：万元</w:t>
      </w:r>
    </w:p>
    <w:tbl>
      <w:tblPr>
        <w:tblStyle w:val="6"/>
        <w:tblW w:w="0" w:type="auto"/>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48"/>
        <w:gridCol w:w="1276"/>
        <w:gridCol w:w="1926"/>
        <w:gridCol w:w="1926"/>
        <w:gridCol w:w="1926"/>
        <w:gridCol w:w="1927"/>
        <w:gridCol w:w="1926"/>
        <w:gridCol w:w="193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0" w:hRule="atLeast"/>
        </w:trPr>
        <w:tc>
          <w:tcPr>
            <w:tcW w:w="2424" w:type="dxa"/>
            <w:gridSpan w:val="2"/>
            <w:tcBorders>
              <w:bottom w:val="single" w:color="000000" w:sz="4" w:space="0"/>
              <w:right w:val="single" w:color="000000" w:sz="4" w:space="0"/>
            </w:tcBorders>
          </w:tcPr>
          <w:p>
            <w:pPr>
              <w:pStyle w:val="10"/>
              <w:tabs>
                <w:tab w:val="left" w:pos="1411"/>
              </w:tabs>
              <w:spacing w:before="89"/>
              <w:ind w:left="811"/>
              <w:rPr>
                <w:sz w:val="22"/>
                <w:szCs w:val="22"/>
              </w:rPr>
            </w:pPr>
            <w:r>
              <w:rPr>
                <w:sz w:val="22"/>
                <w:szCs w:val="22"/>
              </w:rPr>
              <w:t>项</w:t>
            </w:r>
            <w:r>
              <w:rPr>
                <w:sz w:val="22"/>
                <w:szCs w:val="22"/>
              </w:rPr>
              <w:tab/>
            </w:r>
            <w:r>
              <w:rPr>
                <w:sz w:val="22"/>
                <w:szCs w:val="22"/>
              </w:rPr>
              <w:t>目</w:t>
            </w:r>
          </w:p>
        </w:tc>
        <w:tc>
          <w:tcPr>
            <w:tcW w:w="1926" w:type="dxa"/>
            <w:vMerge w:val="restart"/>
            <w:tcBorders>
              <w:left w:val="single" w:color="000000" w:sz="4" w:space="0"/>
              <w:bottom w:val="single" w:color="000000" w:sz="4" w:space="0"/>
              <w:right w:val="single" w:color="000000" w:sz="4" w:space="0"/>
            </w:tcBorders>
          </w:tcPr>
          <w:p>
            <w:pPr>
              <w:pStyle w:val="10"/>
              <w:rPr>
                <w:sz w:val="22"/>
                <w:szCs w:val="22"/>
              </w:rPr>
            </w:pPr>
          </w:p>
          <w:p>
            <w:pPr>
              <w:pStyle w:val="10"/>
              <w:rPr>
                <w:sz w:val="22"/>
                <w:szCs w:val="22"/>
              </w:rPr>
            </w:pPr>
          </w:p>
          <w:p>
            <w:pPr>
              <w:pStyle w:val="10"/>
              <w:spacing w:before="11"/>
              <w:rPr>
                <w:sz w:val="22"/>
                <w:szCs w:val="22"/>
              </w:rPr>
            </w:pPr>
          </w:p>
          <w:p>
            <w:pPr>
              <w:pStyle w:val="10"/>
              <w:ind w:left="266"/>
              <w:rPr>
                <w:sz w:val="22"/>
                <w:szCs w:val="22"/>
              </w:rPr>
            </w:pPr>
            <w:r>
              <w:rPr>
                <w:sz w:val="22"/>
                <w:szCs w:val="22"/>
              </w:rPr>
              <w:t>年初结转和结余</w:t>
            </w:r>
          </w:p>
        </w:tc>
        <w:tc>
          <w:tcPr>
            <w:tcW w:w="1926" w:type="dxa"/>
            <w:vMerge w:val="restart"/>
            <w:tcBorders>
              <w:left w:val="single" w:color="000000" w:sz="4" w:space="0"/>
              <w:bottom w:val="single" w:color="000000" w:sz="4" w:space="0"/>
              <w:right w:val="single" w:color="000000" w:sz="4" w:space="0"/>
            </w:tcBorders>
          </w:tcPr>
          <w:p>
            <w:pPr>
              <w:pStyle w:val="10"/>
              <w:rPr>
                <w:sz w:val="22"/>
                <w:szCs w:val="22"/>
              </w:rPr>
            </w:pPr>
          </w:p>
          <w:p>
            <w:pPr>
              <w:pStyle w:val="10"/>
              <w:rPr>
                <w:sz w:val="22"/>
                <w:szCs w:val="22"/>
              </w:rPr>
            </w:pPr>
          </w:p>
          <w:p>
            <w:pPr>
              <w:pStyle w:val="10"/>
              <w:spacing w:before="11"/>
              <w:rPr>
                <w:sz w:val="22"/>
                <w:szCs w:val="22"/>
              </w:rPr>
            </w:pPr>
          </w:p>
          <w:p>
            <w:pPr>
              <w:pStyle w:val="10"/>
              <w:ind w:left="568"/>
              <w:rPr>
                <w:sz w:val="22"/>
                <w:szCs w:val="22"/>
              </w:rPr>
            </w:pPr>
            <w:r>
              <w:rPr>
                <w:sz w:val="22"/>
                <w:szCs w:val="22"/>
              </w:rPr>
              <w:t>本年收入</w:t>
            </w:r>
          </w:p>
        </w:tc>
        <w:tc>
          <w:tcPr>
            <w:tcW w:w="5779" w:type="dxa"/>
            <w:gridSpan w:val="3"/>
            <w:tcBorders>
              <w:left w:val="single" w:color="000000" w:sz="4" w:space="0"/>
              <w:bottom w:val="single" w:color="000000" w:sz="4" w:space="0"/>
              <w:right w:val="single" w:color="000000" w:sz="4" w:space="0"/>
            </w:tcBorders>
          </w:tcPr>
          <w:p>
            <w:pPr>
              <w:pStyle w:val="10"/>
              <w:spacing w:before="89"/>
              <w:ind w:left="2473" w:right="2456"/>
              <w:jc w:val="center"/>
              <w:rPr>
                <w:sz w:val="22"/>
                <w:szCs w:val="22"/>
              </w:rPr>
            </w:pPr>
            <w:r>
              <w:rPr>
                <w:sz w:val="22"/>
                <w:szCs w:val="22"/>
              </w:rPr>
              <w:t>本年支出</w:t>
            </w:r>
          </w:p>
        </w:tc>
        <w:tc>
          <w:tcPr>
            <w:tcW w:w="1933" w:type="dxa"/>
            <w:vMerge w:val="restart"/>
            <w:tcBorders>
              <w:left w:val="single" w:color="000000" w:sz="4" w:space="0"/>
              <w:bottom w:val="single" w:color="000000" w:sz="4" w:space="0"/>
            </w:tcBorders>
          </w:tcPr>
          <w:p>
            <w:pPr>
              <w:pStyle w:val="10"/>
              <w:rPr>
                <w:sz w:val="22"/>
                <w:szCs w:val="22"/>
              </w:rPr>
            </w:pPr>
          </w:p>
          <w:p>
            <w:pPr>
              <w:pStyle w:val="10"/>
              <w:rPr>
                <w:sz w:val="22"/>
                <w:szCs w:val="22"/>
              </w:rPr>
            </w:pPr>
          </w:p>
          <w:p>
            <w:pPr>
              <w:pStyle w:val="10"/>
              <w:spacing w:before="11"/>
              <w:rPr>
                <w:sz w:val="22"/>
                <w:szCs w:val="22"/>
              </w:rPr>
            </w:pPr>
          </w:p>
          <w:p>
            <w:pPr>
              <w:pStyle w:val="10"/>
              <w:ind w:left="269"/>
              <w:rPr>
                <w:sz w:val="22"/>
                <w:szCs w:val="22"/>
              </w:rPr>
            </w:pPr>
            <w:r>
              <w:rPr>
                <w:sz w:val="22"/>
                <w:szCs w:val="22"/>
              </w:rPr>
              <w:t>年末结转和结余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45" w:hRule="atLeast"/>
        </w:trPr>
        <w:tc>
          <w:tcPr>
            <w:tcW w:w="1148" w:type="dxa"/>
            <w:tcBorders>
              <w:top w:val="single" w:color="000000" w:sz="4" w:space="0"/>
              <w:bottom w:val="single" w:color="000000" w:sz="4" w:space="0"/>
              <w:right w:val="single" w:color="000000" w:sz="4" w:space="0"/>
            </w:tcBorders>
          </w:tcPr>
          <w:p>
            <w:pPr>
              <w:pStyle w:val="10"/>
              <w:rPr>
                <w:sz w:val="22"/>
                <w:szCs w:val="22"/>
              </w:rPr>
            </w:pPr>
          </w:p>
          <w:p>
            <w:pPr>
              <w:pStyle w:val="10"/>
              <w:spacing w:before="2"/>
              <w:rPr>
                <w:sz w:val="22"/>
                <w:szCs w:val="22"/>
              </w:rPr>
            </w:pPr>
          </w:p>
          <w:p>
            <w:pPr>
              <w:pStyle w:val="10"/>
              <w:spacing w:line="292" w:lineRule="auto"/>
              <w:ind w:left="173" w:right="159"/>
              <w:rPr>
                <w:sz w:val="22"/>
                <w:szCs w:val="22"/>
              </w:rPr>
            </w:pPr>
            <w:r>
              <w:rPr>
                <w:sz w:val="22"/>
                <w:szCs w:val="22"/>
              </w:rPr>
              <w:t>功能分类科目编码</w:t>
            </w:r>
          </w:p>
        </w:tc>
        <w:tc>
          <w:tcPr>
            <w:tcW w:w="1276" w:type="dxa"/>
            <w:tcBorders>
              <w:top w:val="single" w:color="000000" w:sz="4" w:space="0"/>
              <w:left w:val="single" w:color="000000" w:sz="4" w:space="0"/>
              <w:bottom w:val="single" w:color="000000" w:sz="4" w:space="0"/>
              <w:right w:val="single" w:color="000000" w:sz="4" w:space="0"/>
            </w:tcBorders>
          </w:tcPr>
          <w:p>
            <w:pPr>
              <w:pStyle w:val="10"/>
              <w:rPr>
                <w:sz w:val="22"/>
                <w:szCs w:val="22"/>
              </w:rPr>
            </w:pPr>
          </w:p>
          <w:p>
            <w:pPr>
              <w:pStyle w:val="10"/>
              <w:spacing w:before="4"/>
              <w:rPr>
                <w:sz w:val="22"/>
                <w:szCs w:val="22"/>
              </w:rPr>
            </w:pPr>
          </w:p>
          <w:p>
            <w:pPr>
              <w:pStyle w:val="10"/>
              <w:spacing w:before="1"/>
              <w:ind w:left="242"/>
              <w:rPr>
                <w:sz w:val="22"/>
                <w:szCs w:val="22"/>
              </w:rPr>
            </w:pPr>
            <w:r>
              <w:rPr>
                <w:sz w:val="22"/>
                <w:szCs w:val="22"/>
              </w:rPr>
              <w:t>科目名称</w:t>
            </w:r>
          </w:p>
        </w:tc>
        <w:tc>
          <w:tcPr>
            <w:tcW w:w="1926" w:type="dxa"/>
            <w:vMerge w:val="continue"/>
            <w:tcBorders>
              <w:top w:val="nil"/>
              <w:left w:val="single" w:color="000000" w:sz="4" w:space="0"/>
              <w:bottom w:val="single" w:color="000000" w:sz="4" w:space="0"/>
              <w:right w:val="single" w:color="000000" w:sz="4" w:space="0"/>
            </w:tcBorders>
          </w:tcPr>
          <w:p>
            <w:pPr>
              <w:rPr>
                <w:sz w:val="22"/>
                <w:szCs w:val="22"/>
              </w:rPr>
            </w:pPr>
          </w:p>
        </w:tc>
        <w:tc>
          <w:tcPr>
            <w:tcW w:w="1926" w:type="dxa"/>
            <w:vMerge w:val="continue"/>
            <w:tcBorders>
              <w:top w:val="nil"/>
              <w:left w:val="single" w:color="000000" w:sz="4" w:space="0"/>
              <w:bottom w:val="single" w:color="000000" w:sz="4" w:space="0"/>
              <w:right w:val="single" w:color="000000" w:sz="4" w:space="0"/>
            </w:tcBorders>
          </w:tcPr>
          <w:p>
            <w:pPr>
              <w:rPr>
                <w:sz w:val="22"/>
                <w:szCs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sz w:val="22"/>
                <w:szCs w:val="22"/>
              </w:rPr>
            </w:pPr>
          </w:p>
          <w:p>
            <w:pPr>
              <w:pStyle w:val="10"/>
              <w:spacing w:before="4"/>
              <w:rPr>
                <w:sz w:val="22"/>
                <w:szCs w:val="22"/>
              </w:rPr>
            </w:pPr>
          </w:p>
          <w:p>
            <w:pPr>
              <w:pStyle w:val="10"/>
              <w:spacing w:before="1"/>
              <w:ind w:left="546" w:right="528"/>
              <w:jc w:val="center"/>
              <w:rPr>
                <w:sz w:val="22"/>
                <w:szCs w:val="22"/>
              </w:rPr>
            </w:pPr>
            <w:r>
              <w:rPr>
                <w:sz w:val="22"/>
                <w:szCs w:val="22"/>
              </w:rPr>
              <w:t>小计</w:t>
            </w:r>
          </w:p>
        </w:tc>
        <w:tc>
          <w:tcPr>
            <w:tcW w:w="1927" w:type="dxa"/>
            <w:tcBorders>
              <w:top w:val="single" w:color="000000" w:sz="4" w:space="0"/>
              <w:left w:val="single" w:color="000000" w:sz="4" w:space="0"/>
              <w:bottom w:val="single" w:color="000000" w:sz="4" w:space="0"/>
              <w:right w:val="single" w:color="000000" w:sz="4" w:space="0"/>
            </w:tcBorders>
          </w:tcPr>
          <w:p>
            <w:pPr>
              <w:pStyle w:val="10"/>
              <w:rPr>
                <w:sz w:val="22"/>
                <w:szCs w:val="22"/>
              </w:rPr>
            </w:pPr>
          </w:p>
          <w:p>
            <w:pPr>
              <w:pStyle w:val="10"/>
              <w:spacing w:before="4"/>
              <w:rPr>
                <w:sz w:val="22"/>
                <w:szCs w:val="22"/>
              </w:rPr>
            </w:pPr>
          </w:p>
          <w:p>
            <w:pPr>
              <w:pStyle w:val="10"/>
              <w:spacing w:before="1"/>
              <w:ind w:left="547" w:right="530"/>
              <w:jc w:val="center"/>
              <w:rPr>
                <w:sz w:val="22"/>
                <w:szCs w:val="22"/>
              </w:rPr>
            </w:pPr>
            <w:r>
              <w:rPr>
                <w:sz w:val="22"/>
                <w:szCs w:val="22"/>
              </w:rPr>
              <w:t>基本支出</w:t>
            </w:r>
          </w:p>
        </w:tc>
        <w:tc>
          <w:tcPr>
            <w:tcW w:w="1926" w:type="dxa"/>
            <w:tcBorders>
              <w:top w:val="single" w:color="000000" w:sz="4" w:space="0"/>
              <w:left w:val="single" w:color="000000" w:sz="4" w:space="0"/>
              <w:bottom w:val="single" w:color="000000" w:sz="4" w:space="0"/>
              <w:right w:val="single" w:color="000000" w:sz="4" w:space="0"/>
            </w:tcBorders>
          </w:tcPr>
          <w:p>
            <w:pPr>
              <w:pStyle w:val="10"/>
              <w:rPr>
                <w:sz w:val="22"/>
                <w:szCs w:val="22"/>
              </w:rPr>
            </w:pPr>
          </w:p>
          <w:p>
            <w:pPr>
              <w:pStyle w:val="10"/>
              <w:spacing w:before="4"/>
              <w:rPr>
                <w:sz w:val="22"/>
                <w:szCs w:val="22"/>
              </w:rPr>
            </w:pPr>
          </w:p>
          <w:p>
            <w:pPr>
              <w:pStyle w:val="10"/>
              <w:spacing w:before="1"/>
              <w:ind w:left="547" w:right="528"/>
              <w:jc w:val="center"/>
              <w:rPr>
                <w:sz w:val="22"/>
                <w:szCs w:val="22"/>
              </w:rPr>
            </w:pPr>
            <w:r>
              <w:rPr>
                <w:sz w:val="22"/>
                <w:szCs w:val="22"/>
              </w:rPr>
              <w:t>项目支出</w:t>
            </w:r>
          </w:p>
        </w:tc>
        <w:tc>
          <w:tcPr>
            <w:tcW w:w="1933" w:type="dxa"/>
            <w:vMerge w:val="continue"/>
            <w:tcBorders>
              <w:top w:val="nil"/>
              <w:left w:val="single" w:color="000000" w:sz="4" w:space="0"/>
              <w:bottom w:val="single" w:color="000000" w:sz="4" w:space="0"/>
            </w:tcBorders>
          </w:tcPr>
          <w:p>
            <w:pPr>
              <w:rPr>
                <w:sz w:val="22"/>
                <w:szCs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2424" w:type="dxa"/>
            <w:gridSpan w:val="2"/>
            <w:tcBorders>
              <w:top w:val="single" w:color="000000" w:sz="4" w:space="0"/>
              <w:bottom w:val="single" w:color="000000" w:sz="4" w:space="0"/>
              <w:right w:val="single" w:color="000000" w:sz="4" w:space="0"/>
            </w:tcBorders>
          </w:tcPr>
          <w:p>
            <w:pPr>
              <w:pStyle w:val="10"/>
              <w:spacing w:before="112"/>
              <w:ind w:left="989" w:right="979"/>
              <w:jc w:val="center"/>
              <w:rPr>
                <w:sz w:val="22"/>
                <w:szCs w:val="22"/>
              </w:rPr>
            </w:pPr>
            <w:r>
              <w:rPr>
                <w:sz w:val="22"/>
                <w:szCs w:val="22"/>
              </w:rPr>
              <w:t>栏次</w:t>
            </w:r>
          </w:p>
        </w:tc>
        <w:tc>
          <w:tcPr>
            <w:tcW w:w="1926" w:type="dxa"/>
            <w:tcBorders>
              <w:top w:val="single" w:color="000000" w:sz="4" w:space="0"/>
              <w:left w:val="single" w:color="000000" w:sz="4" w:space="0"/>
              <w:bottom w:val="single" w:color="000000" w:sz="4" w:space="0"/>
              <w:right w:val="single" w:color="000000" w:sz="4" w:space="0"/>
            </w:tcBorders>
          </w:tcPr>
          <w:p>
            <w:pPr>
              <w:pStyle w:val="10"/>
              <w:spacing w:before="112"/>
              <w:ind w:left="17"/>
              <w:jc w:val="center"/>
              <w:rPr>
                <w:sz w:val="22"/>
                <w:szCs w:val="22"/>
              </w:rPr>
            </w:pPr>
            <w:r>
              <w:rPr>
                <w:w w:val="99"/>
                <w:sz w:val="22"/>
                <w:szCs w:val="22"/>
              </w:rPr>
              <w:t>1</w:t>
            </w:r>
          </w:p>
        </w:tc>
        <w:tc>
          <w:tcPr>
            <w:tcW w:w="1926" w:type="dxa"/>
            <w:tcBorders>
              <w:top w:val="single" w:color="000000" w:sz="4" w:space="0"/>
              <w:left w:val="single" w:color="000000" w:sz="4" w:space="0"/>
              <w:bottom w:val="single" w:color="000000" w:sz="4" w:space="0"/>
              <w:right w:val="single" w:color="000000" w:sz="4" w:space="0"/>
            </w:tcBorders>
          </w:tcPr>
          <w:p>
            <w:pPr>
              <w:pStyle w:val="10"/>
              <w:spacing w:before="112"/>
              <w:ind w:left="20"/>
              <w:jc w:val="center"/>
              <w:rPr>
                <w:sz w:val="22"/>
                <w:szCs w:val="22"/>
              </w:rPr>
            </w:pPr>
            <w:r>
              <w:rPr>
                <w:w w:val="99"/>
                <w:sz w:val="22"/>
                <w:szCs w:val="22"/>
              </w:rPr>
              <w:t>2</w:t>
            </w:r>
          </w:p>
        </w:tc>
        <w:tc>
          <w:tcPr>
            <w:tcW w:w="1926" w:type="dxa"/>
            <w:tcBorders>
              <w:top w:val="single" w:color="000000" w:sz="4" w:space="0"/>
              <w:left w:val="single" w:color="000000" w:sz="4" w:space="0"/>
              <w:bottom w:val="single" w:color="000000" w:sz="4" w:space="0"/>
              <w:right w:val="single" w:color="000000" w:sz="4" w:space="0"/>
            </w:tcBorders>
          </w:tcPr>
          <w:p>
            <w:pPr>
              <w:pStyle w:val="10"/>
              <w:spacing w:before="112"/>
              <w:ind w:left="17"/>
              <w:jc w:val="center"/>
              <w:rPr>
                <w:sz w:val="22"/>
                <w:szCs w:val="22"/>
              </w:rPr>
            </w:pPr>
            <w:r>
              <w:rPr>
                <w:w w:val="99"/>
                <w:sz w:val="22"/>
                <w:szCs w:val="22"/>
              </w:rPr>
              <w:t>3</w:t>
            </w:r>
          </w:p>
        </w:tc>
        <w:tc>
          <w:tcPr>
            <w:tcW w:w="1927" w:type="dxa"/>
            <w:tcBorders>
              <w:top w:val="single" w:color="000000" w:sz="4" w:space="0"/>
              <w:left w:val="single" w:color="000000" w:sz="4" w:space="0"/>
              <w:bottom w:val="single" w:color="000000" w:sz="4" w:space="0"/>
              <w:right w:val="single" w:color="000000" w:sz="4" w:space="0"/>
            </w:tcBorders>
          </w:tcPr>
          <w:p>
            <w:pPr>
              <w:pStyle w:val="10"/>
              <w:spacing w:before="112"/>
              <w:ind w:left="19"/>
              <w:jc w:val="center"/>
              <w:rPr>
                <w:sz w:val="22"/>
                <w:szCs w:val="22"/>
              </w:rPr>
            </w:pPr>
            <w:r>
              <w:rPr>
                <w:w w:val="99"/>
                <w:sz w:val="22"/>
                <w:szCs w:val="22"/>
              </w:rPr>
              <w:t>4</w:t>
            </w:r>
          </w:p>
        </w:tc>
        <w:tc>
          <w:tcPr>
            <w:tcW w:w="1926" w:type="dxa"/>
            <w:tcBorders>
              <w:top w:val="single" w:color="000000" w:sz="4" w:space="0"/>
              <w:left w:val="single" w:color="000000" w:sz="4" w:space="0"/>
              <w:bottom w:val="single" w:color="000000" w:sz="4" w:space="0"/>
              <w:right w:val="single" w:color="000000" w:sz="4" w:space="0"/>
            </w:tcBorders>
          </w:tcPr>
          <w:p>
            <w:pPr>
              <w:pStyle w:val="10"/>
              <w:spacing w:before="112"/>
              <w:ind w:left="20"/>
              <w:jc w:val="center"/>
              <w:rPr>
                <w:sz w:val="22"/>
                <w:szCs w:val="22"/>
              </w:rPr>
            </w:pPr>
            <w:r>
              <w:rPr>
                <w:w w:val="99"/>
                <w:sz w:val="22"/>
                <w:szCs w:val="22"/>
              </w:rPr>
              <w:t>5</w:t>
            </w:r>
          </w:p>
        </w:tc>
        <w:tc>
          <w:tcPr>
            <w:tcW w:w="1933" w:type="dxa"/>
            <w:tcBorders>
              <w:top w:val="single" w:color="000000" w:sz="4" w:space="0"/>
              <w:left w:val="single" w:color="000000" w:sz="4" w:space="0"/>
              <w:bottom w:val="single" w:color="000000" w:sz="4" w:space="0"/>
            </w:tcBorders>
          </w:tcPr>
          <w:p>
            <w:pPr>
              <w:pStyle w:val="10"/>
              <w:spacing w:before="112"/>
              <w:ind w:left="21"/>
              <w:jc w:val="center"/>
              <w:rPr>
                <w:sz w:val="22"/>
                <w:szCs w:val="22"/>
              </w:rPr>
            </w:pPr>
            <w:r>
              <w:rPr>
                <w:w w:val="99"/>
                <w:sz w:val="22"/>
                <w:szCs w:val="22"/>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2424" w:type="dxa"/>
            <w:gridSpan w:val="2"/>
            <w:tcBorders>
              <w:top w:val="single" w:color="000000" w:sz="4" w:space="0"/>
              <w:bottom w:val="single" w:color="000000" w:sz="4" w:space="0"/>
              <w:right w:val="single" w:color="000000" w:sz="4" w:space="0"/>
            </w:tcBorders>
          </w:tcPr>
          <w:p>
            <w:pPr>
              <w:pStyle w:val="10"/>
              <w:spacing w:before="112"/>
              <w:ind w:left="989" w:right="979"/>
              <w:jc w:val="center"/>
              <w:rPr>
                <w:sz w:val="22"/>
                <w:szCs w:val="22"/>
              </w:rPr>
            </w:pPr>
            <w:r>
              <w:rPr>
                <w:sz w:val="22"/>
                <w:szCs w:val="22"/>
              </w:rPr>
              <w:t>合计</w:t>
            </w: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szCs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szCs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szCs w:val="22"/>
              </w:rPr>
            </w:pPr>
          </w:p>
        </w:tc>
        <w:tc>
          <w:tcPr>
            <w:tcW w:w="1927"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szCs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szCs w:val="22"/>
              </w:rPr>
            </w:pPr>
          </w:p>
        </w:tc>
        <w:tc>
          <w:tcPr>
            <w:tcW w:w="1933" w:type="dxa"/>
            <w:tcBorders>
              <w:top w:val="single" w:color="000000" w:sz="4" w:space="0"/>
              <w:left w:val="single" w:color="000000" w:sz="4" w:space="0"/>
              <w:bottom w:val="single" w:color="000000" w:sz="4" w:space="0"/>
            </w:tcBorders>
          </w:tcPr>
          <w:p>
            <w:pPr>
              <w:pStyle w:val="10"/>
              <w:rPr>
                <w:rFonts w:ascii="Times New Roman"/>
                <w:sz w:val="22"/>
                <w:szCs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148" w:type="dxa"/>
            <w:tcBorders>
              <w:top w:val="single" w:color="000000" w:sz="4" w:space="0"/>
              <w:bottom w:val="single" w:color="000000" w:sz="4" w:space="0"/>
              <w:right w:val="single" w:color="000000" w:sz="4" w:space="0"/>
            </w:tcBorders>
          </w:tcPr>
          <w:p>
            <w:pPr>
              <w:pStyle w:val="10"/>
              <w:rPr>
                <w:rFonts w:ascii="Times New Roman"/>
                <w:sz w:val="22"/>
                <w:szCs w:val="22"/>
              </w:rPr>
            </w:pPr>
          </w:p>
        </w:tc>
        <w:tc>
          <w:tcPr>
            <w:tcW w:w="127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szCs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szCs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szCs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szCs w:val="22"/>
              </w:rPr>
            </w:pPr>
          </w:p>
        </w:tc>
        <w:tc>
          <w:tcPr>
            <w:tcW w:w="1927"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szCs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szCs w:val="22"/>
              </w:rPr>
            </w:pPr>
          </w:p>
        </w:tc>
        <w:tc>
          <w:tcPr>
            <w:tcW w:w="1933" w:type="dxa"/>
            <w:tcBorders>
              <w:top w:val="single" w:color="000000" w:sz="4" w:space="0"/>
              <w:left w:val="single" w:color="000000" w:sz="4" w:space="0"/>
              <w:bottom w:val="single" w:color="000000" w:sz="4" w:space="0"/>
            </w:tcBorders>
          </w:tcPr>
          <w:p>
            <w:pPr>
              <w:pStyle w:val="10"/>
              <w:rPr>
                <w:rFonts w:ascii="Times New Roman"/>
                <w:sz w:val="22"/>
                <w:szCs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148" w:type="dxa"/>
            <w:tcBorders>
              <w:top w:val="single" w:color="000000" w:sz="4" w:space="0"/>
              <w:bottom w:val="single" w:color="000000" w:sz="4" w:space="0"/>
              <w:right w:val="single" w:color="000000" w:sz="4" w:space="0"/>
            </w:tcBorders>
          </w:tcPr>
          <w:p>
            <w:pPr>
              <w:pStyle w:val="10"/>
              <w:rPr>
                <w:rFonts w:ascii="Times New Roman"/>
                <w:sz w:val="22"/>
                <w:szCs w:val="22"/>
              </w:rPr>
            </w:pPr>
          </w:p>
        </w:tc>
        <w:tc>
          <w:tcPr>
            <w:tcW w:w="127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szCs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szCs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szCs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szCs w:val="22"/>
              </w:rPr>
            </w:pPr>
          </w:p>
        </w:tc>
        <w:tc>
          <w:tcPr>
            <w:tcW w:w="1927"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szCs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szCs w:val="22"/>
              </w:rPr>
            </w:pPr>
          </w:p>
        </w:tc>
        <w:tc>
          <w:tcPr>
            <w:tcW w:w="1933" w:type="dxa"/>
            <w:tcBorders>
              <w:top w:val="single" w:color="000000" w:sz="4" w:space="0"/>
              <w:left w:val="single" w:color="000000" w:sz="4" w:space="0"/>
              <w:bottom w:val="single" w:color="000000" w:sz="4" w:space="0"/>
            </w:tcBorders>
          </w:tcPr>
          <w:p>
            <w:pPr>
              <w:pStyle w:val="10"/>
              <w:rPr>
                <w:rFonts w:ascii="Times New Roman"/>
                <w:sz w:val="22"/>
                <w:szCs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148" w:type="dxa"/>
            <w:tcBorders>
              <w:top w:val="single" w:color="000000" w:sz="4" w:space="0"/>
              <w:bottom w:val="single" w:color="000000" w:sz="4" w:space="0"/>
              <w:right w:val="single" w:color="000000" w:sz="4" w:space="0"/>
            </w:tcBorders>
          </w:tcPr>
          <w:p>
            <w:pPr>
              <w:pStyle w:val="10"/>
              <w:rPr>
                <w:rFonts w:ascii="Times New Roman"/>
                <w:sz w:val="22"/>
                <w:szCs w:val="22"/>
              </w:rPr>
            </w:pPr>
          </w:p>
        </w:tc>
        <w:tc>
          <w:tcPr>
            <w:tcW w:w="127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szCs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szCs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szCs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szCs w:val="22"/>
              </w:rPr>
            </w:pPr>
          </w:p>
        </w:tc>
        <w:tc>
          <w:tcPr>
            <w:tcW w:w="1927"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szCs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szCs w:val="22"/>
              </w:rPr>
            </w:pPr>
          </w:p>
        </w:tc>
        <w:tc>
          <w:tcPr>
            <w:tcW w:w="1933" w:type="dxa"/>
            <w:tcBorders>
              <w:top w:val="single" w:color="000000" w:sz="4" w:space="0"/>
              <w:left w:val="single" w:color="000000" w:sz="4" w:space="0"/>
              <w:bottom w:val="single" w:color="000000" w:sz="4" w:space="0"/>
            </w:tcBorders>
          </w:tcPr>
          <w:p>
            <w:pPr>
              <w:pStyle w:val="10"/>
              <w:rPr>
                <w:rFonts w:ascii="Times New Roman"/>
                <w:sz w:val="22"/>
                <w:szCs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148" w:type="dxa"/>
            <w:tcBorders>
              <w:top w:val="single" w:color="000000" w:sz="4" w:space="0"/>
              <w:bottom w:val="single" w:color="000000" w:sz="4" w:space="0"/>
              <w:right w:val="single" w:color="000000" w:sz="4" w:space="0"/>
            </w:tcBorders>
          </w:tcPr>
          <w:p>
            <w:pPr>
              <w:pStyle w:val="10"/>
              <w:rPr>
                <w:rFonts w:ascii="Times New Roman"/>
                <w:sz w:val="22"/>
                <w:szCs w:val="22"/>
              </w:rPr>
            </w:pPr>
          </w:p>
        </w:tc>
        <w:tc>
          <w:tcPr>
            <w:tcW w:w="127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szCs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szCs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szCs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szCs w:val="22"/>
              </w:rPr>
            </w:pPr>
          </w:p>
        </w:tc>
        <w:tc>
          <w:tcPr>
            <w:tcW w:w="1927"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szCs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szCs w:val="22"/>
              </w:rPr>
            </w:pPr>
          </w:p>
        </w:tc>
        <w:tc>
          <w:tcPr>
            <w:tcW w:w="1933" w:type="dxa"/>
            <w:tcBorders>
              <w:top w:val="single" w:color="000000" w:sz="4" w:space="0"/>
              <w:left w:val="single" w:color="000000" w:sz="4" w:space="0"/>
              <w:bottom w:val="single" w:color="000000" w:sz="4" w:space="0"/>
            </w:tcBorders>
          </w:tcPr>
          <w:p>
            <w:pPr>
              <w:pStyle w:val="10"/>
              <w:rPr>
                <w:rFonts w:ascii="Times New Roman"/>
                <w:sz w:val="22"/>
                <w:szCs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148" w:type="dxa"/>
            <w:tcBorders>
              <w:top w:val="single" w:color="000000" w:sz="4" w:space="0"/>
              <w:bottom w:val="single" w:color="000000" w:sz="4" w:space="0"/>
              <w:right w:val="single" w:color="000000" w:sz="4" w:space="0"/>
            </w:tcBorders>
          </w:tcPr>
          <w:p>
            <w:pPr>
              <w:pStyle w:val="10"/>
              <w:rPr>
                <w:rFonts w:ascii="Times New Roman"/>
                <w:sz w:val="22"/>
                <w:szCs w:val="22"/>
              </w:rPr>
            </w:pPr>
          </w:p>
        </w:tc>
        <w:tc>
          <w:tcPr>
            <w:tcW w:w="127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szCs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szCs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szCs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szCs w:val="22"/>
              </w:rPr>
            </w:pPr>
          </w:p>
        </w:tc>
        <w:tc>
          <w:tcPr>
            <w:tcW w:w="1927"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szCs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szCs w:val="22"/>
              </w:rPr>
            </w:pPr>
          </w:p>
        </w:tc>
        <w:tc>
          <w:tcPr>
            <w:tcW w:w="1933" w:type="dxa"/>
            <w:tcBorders>
              <w:top w:val="single" w:color="000000" w:sz="4" w:space="0"/>
              <w:left w:val="single" w:color="000000" w:sz="4" w:space="0"/>
              <w:bottom w:val="single" w:color="000000" w:sz="4" w:space="0"/>
            </w:tcBorders>
          </w:tcPr>
          <w:p>
            <w:pPr>
              <w:pStyle w:val="10"/>
              <w:rPr>
                <w:rFonts w:ascii="Times New Roman"/>
                <w:sz w:val="22"/>
                <w:szCs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4" w:hRule="atLeast"/>
        </w:trPr>
        <w:tc>
          <w:tcPr>
            <w:tcW w:w="1148" w:type="dxa"/>
            <w:tcBorders>
              <w:top w:val="single" w:color="000000" w:sz="4" w:space="0"/>
              <w:right w:val="single" w:color="000000" w:sz="4" w:space="0"/>
            </w:tcBorders>
          </w:tcPr>
          <w:p>
            <w:pPr>
              <w:pStyle w:val="10"/>
              <w:rPr>
                <w:rFonts w:ascii="Times New Roman"/>
                <w:sz w:val="22"/>
                <w:szCs w:val="22"/>
              </w:rPr>
            </w:pPr>
          </w:p>
        </w:tc>
        <w:tc>
          <w:tcPr>
            <w:tcW w:w="1276" w:type="dxa"/>
            <w:tcBorders>
              <w:top w:val="single" w:color="000000" w:sz="4" w:space="0"/>
              <w:left w:val="single" w:color="000000" w:sz="4" w:space="0"/>
              <w:right w:val="single" w:color="000000" w:sz="4" w:space="0"/>
            </w:tcBorders>
          </w:tcPr>
          <w:p>
            <w:pPr>
              <w:pStyle w:val="10"/>
              <w:rPr>
                <w:rFonts w:ascii="Times New Roman"/>
                <w:sz w:val="22"/>
                <w:szCs w:val="22"/>
              </w:rPr>
            </w:pPr>
          </w:p>
        </w:tc>
        <w:tc>
          <w:tcPr>
            <w:tcW w:w="1926" w:type="dxa"/>
            <w:tcBorders>
              <w:top w:val="single" w:color="000000" w:sz="4" w:space="0"/>
              <w:left w:val="single" w:color="000000" w:sz="4" w:space="0"/>
              <w:right w:val="single" w:color="000000" w:sz="4" w:space="0"/>
            </w:tcBorders>
          </w:tcPr>
          <w:p>
            <w:pPr>
              <w:pStyle w:val="10"/>
              <w:rPr>
                <w:rFonts w:ascii="Times New Roman"/>
                <w:sz w:val="22"/>
                <w:szCs w:val="22"/>
              </w:rPr>
            </w:pPr>
          </w:p>
        </w:tc>
        <w:tc>
          <w:tcPr>
            <w:tcW w:w="1926" w:type="dxa"/>
            <w:tcBorders>
              <w:top w:val="single" w:color="000000" w:sz="4" w:space="0"/>
              <w:left w:val="single" w:color="000000" w:sz="4" w:space="0"/>
              <w:right w:val="single" w:color="000000" w:sz="4" w:space="0"/>
            </w:tcBorders>
          </w:tcPr>
          <w:p>
            <w:pPr>
              <w:pStyle w:val="10"/>
              <w:rPr>
                <w:rFonts w:ascii="Times New Roman"/>
                <w:sz w:val="22"/>
                <w:szCs w:val="22"/>
              </w:rPr>
            </w:pPr>
          </w:p>
        </w:tc>
        <w:tc>
          <w:tcPr>
            <w:tcW w:w="1926" w:type="dxa"/>
            <w:tcBorders>
              <w:top w:val="single" w:color="000000" w:sz="4" w:space="0"/>
              <w:left w:val="single" w:color="000000" w:sz="4" w:space="0"/>
              <w:right w:val="single" w:color="000000" w:sz="4" w:space="0"/>
            </w:tcBorders>
          </w:tcPr>
          <w:p>
            <w:pPr>
              <w:pStyle w:val="10"/>
              <w:rPr>
                <w:rFonts w:ascii="Times New Roman"/>
                <w:sz w:val="22"/>
                <w:szCs w:val="22"/>
              </w:rPr>
            </w:pPr>
          </w:p>
        </w:tc>
        <w:tc>
          <w:tcPr>
            <w:tcW w:w="1927" w:type="dxa"/>
            <w:tcBorders>
              <w:top w:val="single" w:color="000000" w:sz="4" w:space="0"/>
              <w:left w:val="single" w:color="000000" w:sz="4" w:space="0"/>
              <w:right w:val="single" w:color="000000" w:sz="4" w:space="0"/>
            </w:tcBorders>
          </w:tcPr>
          <w:p>
            <w:pPr>
              <w:pStyle w:val="10"/>
              <w:rPr>
                <w:rFonts w:ascii="Times New Roman"/>
                <w:sz w:val="22"/>
                <w:szCs w:val="22"/>
              </w:rPr>
            </w:pPr>
          </w:p>
        </w:tc>
        <w:tc>
          <w:tcPr>
            <w:tcW w:w="1926" w:type="dxa"/>
            <w:tcBorders>
              <w:top w:val="single" w:color="000000" w:sz="4" w:space="0"/>
              <w:left w:val="single" w:color="000000" w:sz="4" w:space="0"/>
              <w:right w:val="single" w:color="000000" w:sz="4" w:space="0"/>
            </w:tcBorders>
          </w:tcPr>
          <w:p>
            <w:pPr>
              <w:pStyle w:val="10"/>
              <w:rPr>
                <w:rFonts w:ascii="Times New Roman"/>
                <w:sz w:val="22"/>
                <w:szCs w:val="22"/>
              </w:rPr>
            </w:pPr>
          </w:p>
        </w:tc>
        <w:tc>
          <w:tcPr>
            <w:tcW w:w="1933" w:type="dxa"/>
            <w:tcBorders>
              <w:top w:val="single" w:color="000000" w:sz="4" w:space="0"/>
              <w:left w:val="single" w:color="000000" w:sz="4" w:space="0"/>
            </w:tcBorders>
          </w:tcPr>
          <w:p>
            <w:pPr>
              <w:pStyle w:val="10"/>
              <w:rPr>
                <w:rFonts w:ascii="Times New Roman"/>
                <w:sz w:val="22"/>
                <w:szCs w:val="22"/>
              </w:rPr>
            </w:pPr>
          </w:p>
        </w:tc>
      </w:tr>
    </w:tbl>
    <w:p>
      <w:pPr>
        <w:spacing w:before="4" w:line="240" w:lineRule="auto"/>
        <w:rPr>
          <w:sz w:val="22"/>
          <w:szCs w:val="22"/>
        </w:rPr>
      </w:pPr>
    </w:p>
    <w:p>
      <w:pPr>
        <w:spacing w:before="1"/>
        <w:ind w:left="140" w:right="0" w:firstLine="0"/>
        <w:jc w:val="left"/>
        <w:rPr>
          <w:sz w:val="22"/>
          <w:szCs w:val="22"/>
        </w:rPr>
      </w:pPr>
      <w:r>
        <w:rPr>
          <w:sz w:val="22"/>
          <w:szCs w:val="22"/>
        </w:rPr>
        <w:t>注：本表反映部门本年度政府性基金预算财政拨款收入、支出及结转和结余情况。</w:t>
      </w:r>
    </w:p>
    <w:p>
      <w:pPr>
        <w:spacing w:before="5" w:line="240" w:lineRule="auto"/>
        <w:rPr>
          <w:sz w:val="19"/>
        </w:rPr>
      </w:pPr>
    </w:p>
    <w:p>
      <w:pPr>
        <w:pStyle w:val="3"/>
        <w:spacing w:before="54"/>
        <w:ind w:left="879"/>
        <w:rPr>
          <w:highlight w:val="yellow"/>
        </w:rPr>
      </w:pPr>
      <w:r>
        <w:rPr>
          <w:highlight w:val="yellow"/>
        </w:rPr>
        <w:t>说明：我部门没有政府性基金收入，也没有使用政府性基金安排的支出，故本表无数据。</w:t>
      </w:r>
    </w:p>
    <w:p>
      <w:pPr>
        <w:spacing w:after="0"/>
        <w:rPr>
          <w:highlight w:val="yellow"/>
        </w:rPr>
        <w:sectPr>
          <w:type w:val="continuous"/>
          <w:pgSz w:w="16840" w:h="11910" w:orient="landscape"/>
          <w:pgMar w:top="1580" w:right="1280" w:bottom="280" w:left="1300" w:header="720" w:footer="720" w:gutter="0"/>
          <w:pgBorders>
            <w:top w:val="none" w:sz="0" w:space="0"/>
            <w:left w:val="none" w:sz="0" w:space="0"/>
            <w:bottom w:val="none" w:sz="0" w:space="0"/>
            <w:right w:val="none" w:sz="0" w:space="0"/>
          </w:pgBorders>
          <w:cols w:space="720" w:num="1"/>
        </w:sectPr>
      </w:pPr>
    </w:p>
    <w:p>
      <w:pPr>
        <w:pStyle w:val="3"/>
        <w:spacing w:before="2"/>
        <w:rPr>
          <w:sz w:val="18"/>
        </w:rPr>
      </w:pPr>
    </w:p>
    <w:p>
      <w:pPr>
        <w:pStyle w:val="2"/>
        <w:tabs>
          <w:tab w:val="left" w:pos="2789"/>
        </w:tabs>
        <w:ind w:left="389"/>
      </w:pPr>
      <w:bookmarkStart w:id="0" w:name="第三部分  2019年度部门决算情况说明"/>
      <w:bookmarkEnd w:id="0"/>
      <w:r>
        <w:t>第三部分</w:t>
      </w:r>
      <w:r>
        <w:tab/>
      </w:r>
      <w:r>
        <w:t>20</w:t>
      </w:r>
      <w:r>
        <w:rPr>
          <w:rFonts w:hint="eastAsia"/>
          <w:lang w:val="en-US" w:eastAsia="zh-CN"/>
        </w:rPr>
        <w:t>20</w:t>
      </w:r>
      <w:r>
        <w:rPr>
          <w:spacing w:val="-120"/>
        </w:rPr>
        <w:t xml:space="preserve"> </w:t>
      </w:r>
      <w:r>
        <w:t>年度部门决算情况说明</w:t>
      </w:r>
    </w:p>
    <w:p>
      <w:pPr>
        <w:spacing w:before="3" w:line="240" w:lineRule="auto"/>
        <w:rPr>
          <w:sz w:val="48"/>
        </w:rPr>
      </w:pPr>
    </w:p>
    <w:p>
      <w:pPr>
        <w:pStyle w:val="3"/>
        <w:ind w:left="747"/>
        <w:rPr>
          <w:rFonts w:hint="eastAsia" w:ascii="宋体" w:eastAsia="宋体"/>
        </w:rPr>
      </w:pPr>
      <w:bookmarkStart w:id="1" w:name="一、收入支出决算总体情况说明"/>
      <w:bookmarkEnd w:id="1"/>
      <w:r>
        <w:rPr>
          <w:rFonts w:hint="eastAsia" w:ascii="宋体" w:eastAsia="宋体"/>
        </w:rPr>
        <w:t>一、收入支出决算总体情况说明</w:t>
      </w:r>
    </w:p>
    <w:p>
      <w:pPr>
        <w:pStyle w:val="3"/>
        <w:spacing w:before="152" w:line="326" w:lineRule="auto"/>
        <w:ind w:left="108" w:right="234" w:firstLine="638"/>
      </w:pPr>
      <w:r>
        <w:rPr>
          <w:rFonts w:hint="eastAsia"/>
          <w:lang w:val="en-US" w:eastAsia="zh-CN"/>
        </w:rPr>
        <w:t>2020</w:t>
      </w:r>
      <w:r>
        <w:rPr>
          <w:spacing w:val="-24"/>
        </w:rPr>
        <w:t>年度收、支总计均为</w:t>
      </w:r>
      <w:r>
        <w:rPr>
          <w:rFonts w:hint="eastAsia"/>
          <w:spacing w:val="-24"/>
          <w:lang w:val="en-US" w:eastAsia="zh-CN"/>
        </w:rPr>
        <w:t>962.13</w:t>
      </w:r>
      <w:r>
        <w:rPr>
          <w:spacing w:val="-21"/>
        </w:rPr>
        <w:t>万元。与上年度相比，收、</w:t>
      </w:r>
      <w:r>
        <w:rPr>
          <w:spacing w:val="-30"/>
        </w:rPr>
        <w:t xml:space="preserve">支总计各增加 </w:t>
      </w:r>
      <w:r>
        <w:rPr>
          <w:rFonts w:hint="eastAsia"/>
          <w:lang w:val="en-US" w:eastAsia="zh-CN"/>
        </w:rPr>
        <w:t>34.44</w:t>
      </w:r>
      <w:r>
        <w:rPr>
          <w:spacing w:val="-28"/>
        </w:rPr>
        <w:t xml:space="preserve"> 万元，增长</w:t>
      </w:r>
      <w:r>
        <w:rPr>
          <w:rFonts w:hint="eastAsia"/>
          <w:spacing w:val="-28"/>
          <w:lang w:val="en-US" w:eastAsia="zh-CN"/>
        </w:rPr>
        <w:t>3.7</w:t>
      </w:r>
      <w:r>
        <w:rPr>
          <w:spacing w:val="-4"/>
        </w:rPr>
        <w:t>%。主要原因是两大平台建设（资本性支出）和人员经费的增加。</w:t>
      </w:r>
    </w:p>
    <w:p>
      <w:pPr>
        <w:pStyle w:val="3"/>
        <w:spacing w:before="7"/>
        <w:ind w:left="747"/>
        <w:rPr>
          <w:rFonts w:hint="eastAsia" w:ascii="宋体" w:eastAsia="宋体"/>
        </w:rPr>
      </w:pPr>
      <w:bookmarkStart w:id="2" w:name="二、收入决算情况说明"/>
      <w:bookmarkEnd w:id="2"/>
      <w:r>
        <w:rPr>
          <w:rFonts w:hint="eastAsia" w:ascii="宋体" w:eastAsia="宋体"/>
        </w:rPr>
        <w:t>二、收入决算情况说明</w:t>
      </w:r>
    </w:p>
    <w:p>
      <w:pPr>
        <w:pStyle w:val="3"/>
        <w:spacing w:before="149" w:line="328" w:lineRule="auto"/>
        <w:ind w:left="108" w:right="234" w:firstLine="638"/>
      </w:pPr>
      <w:r>
        <w:t>20</w:t>
      </w:r>
      <w:r>
        <w:rPr>
          <w:rFonts w:hint="eastAsia"/>
          <w:lang w:val="en-US" w:eastAsia="zh-CN"/>
        </w:rPr>
        <w:t>20</w:t>
      </w:r>
      <w:r>
        <w:rPr>
          <w:spacing w:val="-10"/>
        </w:rPr>
        <w:t xml:space="preserve"> 年度收入合计</w:t>
      </w:r>
      <w:r>
        <w:rPr>
          <w:rFonts w:hint="eastAsia"/>
          <w:lang w:val="en-US" w:eastAsia="zh-CN"/>
        </w:rPr>
        <w:t>962.13</w:t>
      </w:r>
      <w:r>
        <w:rPr>
          <w:spacing w:val="-31"/>
        </w:rPr>
        <w:t>万元，其中：财政拨款收入</w:t>
      </w:r>
      <w:r>
        <w:rPr>
          <w:rFonts w:hint="eastAsia"/>
          <w:lang w:val="en-US" w:eastAsia="zh-CN"/>
        </w:rPr>
        <w:t>962.13</w:t>
      </w:r>
      <w:r>
        <w:rPr>
          <w:spacing w:val="-23"/>
        </w:rPr>
        <w:t xml:space="preserve">万元，占 </w:t>
      </w:r>
      <w:r>
        <w:rPr>
          <w:spacing w:val="-6"/>
        </w:rPr>
        <w:t>100</w:t>
      </w:r>
      <w:r>
        <w:rPr>
          <w:spacing w:val="-12"/>
        </w:rPr>
        <w:t xml:space="preserve">%；上级补助收入 </w:t>
      </w:r>
      <w:r>
        <w:t>0</w:t>
      </w:r>
      <w:r>
        <w:rPr>
          <w:spacing w:val="-34"/>
        </w:rPr>
        <w:t xml:space="preserve"> 万元，占 </w:t>
      </w:r>
      <w:r>
        <w:rPr>
          <w:spacing w:val="-10"/>
        </w:rPr>
        <w:t>0</w:t>
      </w:r>
      <w:r>
        <w:rPr>
          <w:spacing w:val="-17"/>
        </w:rPr>
        <w:t xml:space="preserve">%；事业收入 </w:t>
      </w:r>
      <w:r>
        <w:t>0</w:t>
      </w:r>
      <w:r>
        <w:rPr>
          <w:spacing w:val="-21"/>
        </w:rPr>
        <w:t xml:space="preserve"> 万元， </w:t>
      </w:r>
      <w:r>
        <w:rPr>
          <w:spacing w:val="-52"/>
        </w:rPr>
        <w:t xml:space="preserve">占 </w:t>
      </w:r>
      <w:r>
        <w:t>0%</w:t>
      </w:r>
      <w:r>
        <w:rPr>
          <w:spacing w:val="-14"/>
        </w:rPr>
        <w:t xml:space="preserve">；经营收入 </w:t>
      </w:r>
      <w:r>
        <w:t>0</w:t>
      </w:r>
      <w:r>
        <w:rPr>
          <w:spacing w:val="-28"/>
        </w:rPr>
        <w:t xml:space="preserve"> 万元，占 </w:t>
      </w:r>
      <w:r>
        <w:t>0%</w:t>
      </w:r>
      <w:r>
        <w:rPr>
          <w:spacing w:val="-9"/>
        </w:rPr>
        <w:t xml:space="preserve">；附属单位上缴收入 </w:t>
      </w:r>
      <w:r>
        <w:t>0</w:t>
      </w:r>
      <w:r>
        <w:rPr>
          <w:spacing w:val="-17"/>
        </w:rPr>
        <w:t xml:space="preserve"> 万元，占0</w:t>
      </w:r>
      <w:r>
        <w:rPr>
          <w:spacing w:val="-26"/>
        </w:rPr>
        <w:t xml:space="preserve">%；其他收入 </w:t>
      </w:r>
      <w:r>
        <w:t>0</w:t>
      </w:r>
      <w:r>
        <w:rPr>
          <w:spacing w:val="-28"/>
        </w:rPr>
        <w:t xml:space="preserve"> 万元，占 </w:t>
      </w:r>
      <w:r>
        <w:t>0%。</w:t>
      </w:r>
    </w:p>
    <w:p>
      <w:pPr>
        <w:pStyle w:val="3"/>
        <w:spacing w:line="402" w:lineRule="exact"/>
        <w:ind w:left="747"/>
        <w:rPr>
          <w:rFonts w:hint="eastAsia" w:ascii="宋体" w:eastAsia="宋体"/>
        </w:rPr>
      </w:pPr>
      <w:bookmarkStart w:id="3" w:name="三、支出决算情况说明"/>
      <w:bookmarkEnd w:id="3"/>
      <w:r>
        <w:rPr>
          <w:rFonts w:hint="eastAsia" w:ascii="宋体" w:eastAsia="宋体"/>
        </w:rPr>
        <w:t>三、支出决算情况说明</w:t>
      </w:r>
    </w:p>
    <w:p>
      <w:pPr>
        <w:pStyle w:val="3"/>
        <w:spacing w:before="152" w:line="328" w:lineRule="auto"/>
        <w:ind w:left="108" w:right="392" w:firstLine="638"/>
        <w:jc w:val="both"/>
      </w:pPr>
      <w:r>
        <w:t>20</w:t>
      </w:r>
      <w:r>
        <w:rPr>
          <w:rFonts w:hint="eastAsia"/>
          <w:lang w:val="en-US" w:eastAsia="zh-CN"/>
        </w:rPr>
        <w:t>20</w:t>
      </w:r>
      <w:r>
        <w:rPr>
          <w:spacing w:val="-13"/>
        </w:rPr>
        <w:t xml:space="preserve"> 年度支出合计</w:t>
      </w:r>
      <w:r>
        <w:rPr>
          <w:rFonts w:hint="eastAsia"/>
          <w:lang w:val="en-US" w:eastAsia="zh-CN"/>
        </w:rPr>
        <w:t>962.13</w:t>
      </w:r>
      <w:r>
        <w:rPr>
          <w:spacing w:val="-6"/>
        </w:rPr>
        <w:t xml:space="preserve">万元，其中：基本支出 </w:t>
      </w:r>
      <w:r>
        <w:rPr>
          <w:rFonts w:hint="eastAsia"/>
          <w:lang w:val="en-US" w:eastAsia="zh-CN"/>
        </w:rPr>
        <w:t>877.13</w:t>
      </w:r>
      <w:r>
        <w:rPr>
          <w:spacing w:val="-23"/>
        </w:rPr>
        <w:t xml:space="preserve">万元，占 </w:t>
      </w:r>
      <w:r>
        <w:rPr>
          <w:rFonts w:hint="eastAsia"/>
          <w:spacing w:val="-5"/>
          <w:lang w:val="en-US" w:eastAsia="zh-CN"/>
        </w:rPr>
        <w:t>84.3</w:t>
      </w:r>
      <w:r>
        <w:rPr>
          <w:spacing w:val="-15"/>
        </w:rPr>
        <w:t xml:space="preserve">%；项目支出 </w:t>
      </w:r>
      <w:r>
        <w:rPr>
          <w:rFonts w:hint="eastAsia"/>
          <w:lang w:val="en-US" w:eastAsia="zh-CN"/>
        </w:rPr>
        <w:t>85</w:t>
      </w:r>
      <w:r>
        <w:t>.00</w:t>
      </w:r>
      <w:r>
        <w:rPr>
          <w:spacing w:val="-34"/>
        </w:rPr>
        <w:t xml:space="preserve"> 万元，占</w:t>
      </w:r>
      <w:r>
        <w:rPr>
          <w:rFonts w:hint="eastAsia"/>
          <w:spacing w:val="-34"/>
          <w:lang w:val="en-US" w:eastAsia="zh-CN"/>
        </w:rPr>
        <w:t>8.83</w:t>
      </w:r>
      <w:r>
        <w:rPr>
          <w:spacing w:val="-5"/>
        </w:rPr>
        <w:t>%</w:t>
      </w:r>
      <w:r>
        <w:rPr>
          <w:spacing w:val="-2"/>
        </w:rPr>
        <w:t>；上缴上级支</w:t>
      </w:r>
      <w:r>
        <w:rPr>
          <w:spacing w:val="-40"/>
        </w:rPr>
        <w:t xml:space="preserve">出 </w:t>
      </w:r>
      <w:r>
        <w:t>0</w:t>
      </w:r>
      <w:r>
        <w:rPr>
          <w:spacing w:val="-27"/>
        </w:rPr>
        <w:t xml:space="preserve"> 万元，占 </w:t>
      </w:r>
      <w:r>
        <w:t>0%</w:t>
      </w:r>
      <w:r>
        <w:rPr>
          <w:spacing w:val="-13"/>
        </w:rPr>
        <w:t xml:space="preserve">；经营支出 </w:t>
      </w:r>
      <w:r>
        <w:t>0</w:t>
      </w:r>
      <w:r>
        <w:rPr>
          <w:spacing w:val="-26"/>
        </w:rPr>
        <w:t xml:space="preserve"> 万元，占 </w:t>
      </w:r>
      <w:r>
        <w:t>0%；对附属单位补助支</w:t>
      </w:r>
      <w:r>
        <w:rPr>
          <w:spacing w:val="-41"/>
        </w:rPr>
        <w:t xml:space="preserve">出 </w:t>
      </w:r>
      <w:r>
        <w:t>0</w:t>
      </w:r>
      <w:r>
        <w:rPr>
          <w:spacing w:val="-28"/>
        </w:rPr>
        <w:t xml:space="preserve"> 万元，占 </w:t>
      </w:r>
      <w:r>
        <w:t>0%。</w:t>
      </w:r>
    </w:p>
    <w:p>
      <w:pPr>
        <w:pStyle w:val="3"/>
        <w:spacing w:line="402" w:lineRule="exact"/>
        <w:ind w:left="747"/>
        <w:rPr>
          <w:rFonts w:hint="eastAsia" w:ascii="宋体" w:eastAsia="宋体"/>
        </w:rPr>
      </w:pPr>
      <w:bookmarkStart w:id="4" w:name="四、财政拨款收入支出决算总体情况说明"/>
      <w:bookmarkEnd w:id="4"/>
      <w:r>
        <w:rPr>
          <w:rFonts w:hint="eastAsia" w:ascii="宋体" w:eastAsia="宋体"/>
        </w:rPr>
        <w:t>四、财政拨款收入支出决算总体情况说明</w:t>
      </w:r>
    </w:p>
    <w:p>
      <w:pPr>
        <w:pStyle w:val="3"/>
        <w:spacing w:before="149" w:line="328" w:lineRule="auto"/>
        <w:ind w:left="108" w:right="357" w:firstLine="638"/>
        <w:jc w:val="both"/>
      </w:pPr>
      <w:r>
        <w:rPr>
          <w:rFonts w:hint="eastAsia"/>
          <w:lang w:val="en-US" w:eastAsia="zh-CN"/>
        </w:rPr>
        <w:t>2020</w:t>
      </w:r>
      <w:r>
        <w:rPr>
          <w:spacing w:val="-16"/>
        </w:rPr>
        <w:t xml:space="preserve">年度财政拨款收、支总计均为 </w:t>
      </w:r>
      <w:r>
        <w:rPr>
          <w:rFonts w:hint="eastAsia"/>
          <w:lang w:val="en-US" w:eastAsia="zh-CN"/>
        </w:rPr>
        <w:t>962.13</w:t>
      </w:r>
      <w:r>
        <w:rPr>
          <w:spacing w:val="-14"/>
        </w:rPr>
        <w:t>万元。与上年度</w:t>
      </w:r>
      <w:r>
        <w:rPr>
          <w:spacing w:val="-19"/>
        </w:rPr>
        <w:t>相比，财政拨款收、支总计各增加</w:t>
      </w:r>
      <w:r>
        <w:rPr>
          <w:rFonts w:hint="eastAsia"/>
          <w:spacing w:val="-19"/>
          <w:lang w:val="en-US" w:eastAsia="zh-CN"/>
        </w:rPr>
        <w:t>34.33</w:t>
      </w:r>
      <w:r>
        <w:rPr>
          <w:spacing w:val="-25"/>
        </w:rPr>
        <w:t xml:space="preserve">万元，增长 </w:t>
      </w:r>
      <w:r>
        <w:rPr>
          <w:rFonts w:hint="eastAsia"/>
          <w:lang w:val="en-US" w:eastAsia="zh-CN"/>
        </w:rPr>
        <w:t>3.7</w:t>
      </w:r>
      <w:r>
        <w:t>%。主要原因是两大平台建设（资本性支出）和人员经费的增加。</w:t>
      </w:r>
    </w:p>
    <w:p>
      <w:pPr>
        <w:pStyle w:val="3"/>
        <w:spacing w:line="405" w:lineRule="exact"/>
        <w:ind w:left="747"/>
        <w:rPr>
          <w:rFonts w:hint="eastAsia" w:ascii="宋体" w:eastAsia="宋体"/>
        </w:rPr>
      </w:pPr>
      <w:bookmarkStart w:id="5" w:name="五、一般公共预算财政拨款支出决算情况说明"/>
      <w:bookmarkEnd w:id="5"/>
      <w:r>
        <w:rPr>
          <w:rFonts w:hint="eastAsia" w:ascii="宋体" w:eastAsia="宋体"/>
        </w:rPr>
        <w:t>五、一般公共预算财政拨款支出决算情况说明</w:t>
      </w:r>
    </w:p>
    <w:p>
      <w:pPr>
        <w:pStyle w:val="3"/>
        <w:spacing w:before="152"/>
        <w:ind w:left="747"/>
      </w:pPr>
      <w:r>
        <w:t>（一）总体情况。</w:t>
      </w:r>
    </w:p>
    <w:p>
      <w:pPr>
        <w:spacing w:after="0"/>
        <w:sectPr>
          <w:footerReference r:id="rId10" w:type="default"/>
          <w:pgSz w:w="11910" w:h="16840"/>
          <w:pgMar w:top="1580" w:right="1080" w:bottom="1180" w:left="1480" w:header="0" w:footer="993" w:gutter="0"/>
          <w:pgBorders>
            <w:top w:val="none" w:sz="0" w:space="0"/>
            <w:left w:val="none" w:sz="0" w:space="0"/>
            <w:bottom w:val="none" w:sz="0" w:space="0"/>
            <w:right w:val="none" w:sz="0" w:space="0"/>
          </w:pgBorders>
          <w:pgNumType w:start="17"/>
          <w:cols w:space="720" w:num="1"/>
        </w:sectPr>
      </w:pPr>
    </w:p>
    <w:p>
      <w:pPr>
        <w:pStyle w:val="3"/>
        <w:rPr>
          <w:sz w:val="20"/>
        </w:rPr>
      </w:pPr>
    </w:p>
    <w:p>
      <w:pPr>
        <w:pStyle w:val="3"/>
        <w:spacing w:before="202" w:line="328" w:lineRule="auto"/>
        <w:ind w:left="108" w:right="391" w:firstLine="638"/>
        <w:jc w:val="both"/>
      </w:pPr>
      <w:r>
        <w:rPr>
          <w:rFonts w:hint="eastAsia"/>
          <w:lang w:val="en-US" w:eastAsia="zh-CN"/>
        </w:rPr>
        <w:t>2020</w:t>
      </w:r>
      <w:r>
        <w:rPr>
          <w:spacing w:val="-15"/>
        </w:rPr>
        <w:t>年度一般公共预算财政拨款支出</w:t>
      </w:r>
      <w:r>
        <w:rPr>
          <w:rFonts w:hint="eastAsia"/>
          <w:spacing w:val="-15"/>
          <w:lang w:val="en-US" w:eastAsia="zh-CN"/>
        </w:rPr>
        <w:t>962.13</w:t>
      </w:r>
      <w:r>
        <w:rPr>
          <w:spacing w:val="-18"/>
        </w:rPr>
        <w:t>万元，占本年</w:t>
      </w:r>
      <w:r>
        <w:rPr>
          <w:spacing w:val="-13"/>
        </w:rPr>
        <w:t xml:space="preserve">支出合计的 </w:t>
      </w:r>
      <w:r>
        <w:t>100</w:t>
      </w:r>
      <w:r>
        <w:rPr>
          <w:spacing w:val="2"/>
        </w:rPr>
        <w:t>%。与上年度相比，一般公共预算财政拨款支出</w:t>
      </w:r>
      <w:r>
        <w:rPr>
          <w:spacing w:val="-28"/>
        </w:rPr>
        <w:t xml:space="preserve">增加 </w:t>
      </w:r>
      <w:r>
        <w:rPr>
          <w:rFonts w:hint="eastAsia"/>
          <w:lang w:val="en-US" w:eastAsia="zh-CN"/>
        </w:rPr>
        <w:t>34.33</w:t>
      </w:r>
      <w:r>
        <w:rPr>
          <w:spacing w:val="-27"/>
        </w:rPr>
        <w:t xml:space="preserve"> 万元，增长</w:t>
      </w:r>
      <w:r>
        <w:rPr>
          <w:rFonts w:hint="eastAsia"/>
          <w:spacing w:val="-27"/>
          <w:lang w:val="en-US" w:eastAsia="zh-CN"/>
        </w:rPr>
        <w:t>3.7</w:t>
      </w:r>
      <w:r>
        <w:rPr>
          <w:spacing w:val="-4"/>
        </w:rPr>
        <w:t>%。主要原因是两大平台建设</w:t>
      </w:r>
      <w:r>
        <w:t>（资本性支出）和人员经费的增加。</w:t>
      </w:r>
    </w:p>
    <w:p>
      <w:pPr>
        <w:pStyle w:val="3"/>
        <w:spacing w:line="402" w:lineRule="exact"/>
        <w:ind w:left="747"/>
      </w:pPr>
      <w:r>
        <w:t>（二）结构情况。</w:t>
      </w:r>
    </w:p>
    <w:p>
      <w:pPr>
        <w:pStyle w:val="3"/>
        <w:spacing w:before="152" w:line="326" w:lineRule="auto"/>
        <w:ind w:left="108" w:right="357" w:firstLine="638"/>
      </w:pPr>
      <w:r>
        <w:rPr>
          <w:rFonts w:hint="eastAsia"/>
          <w:lang w:val="en-US" w:eastAsia="zh-CN"/>
        </w:rPr>
        <w:t>2020</w:t>
      </w:r>
      <w:r>
        <w:rPr>
          <w:spacing w:val="-15"/>
        </w:rPr>
        <w:t>年度一般公共预算财政拨款支出</w:t>
      </w:r>
      <w:r>
        <w:rPr>
          <w:rFonts w:hint="eastAsia"/>
          <w:spacing w:val="-15"/>
          <w:lang w:val="en-US" w:eastAsia="zh-CN"/>
        </w:rPr>
        <w:t>962.13</w:t>
      </w:r>
      <w:r>
        <w:rPr>
          <w:spacing w:val="-18"/>
        </w:rPr>
        <w:t>万元，主要用于以下方面：一般公共服务（类）</w:t>
      </w:r>
      <w:r>
        <w:rPr>
          <w:spacing w:val="-41"/>
        </w:rPr>
        <w:t>支出</w:t>
      </w:r>
      <w:r>
        <w:rPr>
          <w:rFonts w:hint="eastAsia"/>
          <w:spacing w:val="-15"/>
          <w:lang w:val="en-US" w:eastAsia="zh-CN"/>
        </w:rPr>
        <w:t>962.13</w:t>
      </w:r>
      <w:r>
        <w:rPr>
          <w:spacing w:val="-30"/>
        </w:rPr>
        <w:t xml:space="preserve">万元，占 </w:t>
      </w:r>
      <w:r>
        <w:t>100%。</w:t>
      </w:r>
    </w:p>
    <w:p>
      <w:pPr>
        <w:pStyle w:val="3"/>
        <w:spacing w:before="3"/>
        <w:ind w:left="747"/>
      </w:pPr>
      <w:r>
        <w:t>（三）具体情况。</w:t>
      </w:r>
    </w:p>
    <w:p>
      <w:pPr>
        <w:widowControl/>
        <w:spacing w:line="52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20</w:t>
      </w:r>
      <w:r>
        <w:rPr>
          <w:rFonts w:hint="eastAsia" w:ascii="仿宋" w:hAnsi="仿宋" w:eastAsia="仿宋" w:cs="仿宋_GB2312"/>
          <w:sz w:val="32"/>
          <w:szCs w:val="32"/>
          <w:lang w:val="en-US" w:eastAsia="zh-CN"/>
        </w:rPr>
        <w:t>20</w:t>
      </w:r>
      <w:r>
        <w:rPr>
          <w:rFonts w:hint="eastAsia" w:ascii="仿宋" w:hAnsi="仿宋" w:eastAsia="仿宋" w:cs="仿宋_GB2312"/>
          <w:sz w:val="32"/>
          <w:szCs w:val="32"/>
        </w:rPr>
        <w:t>年度一般公共预算财政拨款支出</w:t>
      </w:r>
      <w:r>
        <w:rPr>
          <w:rFonts w:hint="eastAsia" w:ascii="仿宋" w:hAnsi="仿宋" w:eastAsia="仿宋" w:cs="仿宋_GB2312"/>
          <w:sz w:val="32"/>
          <w:szCs w:val="32"/>
          <w:lang w:val="en-US" w:eastAsia="zh-CN"/>
        </w:rPr>
        <w:t>962.13</w:t>
      </w:r>
      <w:r>
        <w:rPr>
          <w:rFonts w:hint="eastAsia" w:ascii="仿宋" w:hAnsi="仿宋" w:eastAsia="仿宋" w:cs="仿宋_GB2312"/>
          <w:sz w:val="32"/>
          <w:szCs w:val="32"/>
        </w:rPr>
        <w:t>万元，主要用于以下方面：一般公共服务（类）支出</w:t>
      </w:r>
      <w:r>
        <w:rPr>
          <w:rFonts w:hint="eastAsia" w:ascii="仿宋" w:hAnsi="仿宋" w:eastAsia="仿宋" w:cs="仿宋_GB2312"/>
          <w:sz w:val="32"/>
          <w:szCs w:val="32"/>
          <w:lang w:val="en-US" w:eastAsia="zh-CN"/>
        </w:rPr>
        <w:t>962.13</w:t>
      </w:r>
      <w:r>
        <w:rPr>
          <w:rFonts w:hint="eastAsia" w:ascii="仿宋" w:hAnsi="仿宋" w:eastAsia="仿宋" w:cs="仿宋_GB2312"/>
          <w:sz w:val="32"/>
          <w:szCs w:val="32"/>
        </w:rPr>
        <w:t>万元，占100%。</w:t>
      </w:r>
    </w:p>
    <w:p>
      <w:pPr>
        <w:pStyle w:val="3"/>
        <w:spacing w:line="407" w:lineRule="exact"/>
        <w:ind w:left="747"/>
        <w:rPr>
          <w:rFonts w:hint="eastAsia" w:ascii="宋体" w:eastAsia="宋体"/>
        </w:rPr>
      </w:pPr>
      <w:r>
        <w:rPr>
          <w:rFonts w:hint="eastAsia" w:ascii="宋体" w:eastAsia="宋体"/>
        </w:rPr>
        <w:t>六、一般公共预算财政拨款基本支出决算情况说明</w:t>
      </w:r>
    </w:p>
    <w:p>
      <w:pPr>
        <w:pStyle w:val="3"/>
        <w:spacing w:before="150"/>
        <w:ind w:left="747"/>
      </w:pPr>
      <w:r>
        <w:rPr>
          <w:rFonts w:hint="eastAsia"/>
          <w:lang w:val="en-US" w:eastAsia="zh-CN"/>
        </w:rPr>
        <w:t>2020</w:t>
      </w:r>
      <w:r>
        <w:t>年度一般公共预算财政拨款基本支出</w:t>
      </w:r>
      <w:r>
        <w:rPr>
          <w:rFonts w:hint="eastAsia" w:ascii="仿宋" w:hAnsi="仿宋" w:eastAsia="仿宋" w:cs="仿宋_GB2312"/>
          <w:sz w:val="32"/>
          <w:szCs w:val="32"/>
          <w:lang w:val="en-US" w:eastAsia="zh-CN"/>
        </w:rPr>
        <w:t>962.13</w:t>
      </w:r>
      <w:r>
        <w:t>万元。其</w:t>
      </w:r>
    </w:p>
    <w:p>
      <w:pPr>
        <w:pStyle w:val="3"/>
        <w:spacing w:before="202" w:line="328" w:lineRule="auto"/>
        <w:ind w:right="228"/>
      </w:pPr>
      <w:r>
        <w:rPr>
          <w:spacing w:val="-11"/>
        </w:rPr>
        <w:t>中：人员经费</w:t>
      </w:r>
      <w:r>
        <w:rPr>
          <w:rFonts w:hint="eastAsia"/>
          <w:spacing w:val="-11"/>
          <w:lang w:val="en-US" w:eastAsia="zh-CN"/>
        </w:rPr>
        <w:t>441.8</w:t>
      </w:r>
      <w:r>
        <w:rPr>
          <w:spacing w:val="-9"/>
        </w:rPr>
        <w:t>万元，主要包括：基本工资、津贴补贴、</w:t>
      </w:r>
      <w:r>
        <w:rPr>
          <w:spacing w:val="-19"/>
        </w:rPr>
        <w:t>奖金、伙食补助费、绩效工资、机关事业单位基本养老保险缴费、</w:t>
      </w:r>
      <w:r>
        <w:t>职业年金缴费、职工基本医疗保险缴费、公务员医疗补助缴</w:t>
      </w:r>
      <w:r>
        <w:rPr>
          <w:rFonts w:hint="eastAsia"/>
          <w:lang w:val="en-US" w:eastAsia="zh-CN"/>
        </w:rPr>
        <w:t>费、其他</w:t>
      </w:r>
      <w:r>
        <w:t>社会保障缴费、住房公积金、医疗费、其他工资福利支出、离休费、退休费、抚恤金、退职（役）费、抚恤金、生活补助、</w:t>
      </w:r>
      <w:r>
        <w:rPr>
          <w:spacing w:val="-12"/>
        </w:rPr>
        <w:t>救济费、医疗费补助、助学金、奖励金、其他对个人和家庭的补</w:t>
      </w:r>
      <w:r>
        <w:rPr>
          <w:spacing w:val="-16"/>
        </w:rPr>
        <w:t>助支出；公用经费</w:t>
      </w:r>
      <w:r>
        <w:rPr>
          <w:rFonts w:hint="eastAsia"/>
          <w:spacing w:val="-16"/>
          <w:lang w:val="en-US" w:eastAsia="zh-CN"/>
        </w:rPr>
        <w:t>435.33</w:t>
      </w:r>
      <w:r>
        <w:rPr>
          <w:spacing w:val="-9"/>
        </w:rPr>
        <w:t>万元，主要包括：办公费、印刷费、咨询费、手续费、水费、电费、邮电费、取暖费、物业管理费、</w:t>
      </w:r>
      <w:r>
        <w:rPr>
          <w:spacing w:val="-13"/>
          <w:w w:val="95"/>
        </w:rPr>
        <w:t>差旅费、因公出国</w:t>
      </w:r>
      <w:r>
        <w:rPr>
          <w:w w:val="95"/>
        </w:rPr>
        <w:t>（境</w:t>
      </w:r>
      <w:r>
        <w:rPr>
          <w:spacing w:val="-34"/>
          <w:w w:val="95"/>
        </w:rPr>
        <w:t>）</w:t>
      </w:r>
      <w:r>
        <w:rPr>
          <w:spacing w:val="-14"/>
          <w:w w:val="95"/>
        </w:rPr>
        <w:t>费用、维修</w:t>
      </w:r>
      <w:r>
        <w:rPr>
          <w:w w:val="95"/>
        </w:rPr>
        <w:t>（护</w:t>
      </w:r>
      <w:r>
        <w:rPr>
          <w:spacing w:val="-34"/>
          <w:w w:val="95"/>
        </w:rPr>
        <w:t>）</w:t>
      </w:r>
      <w:r>
        <w:rPr>
          <w:spacing w:val="-9"/>
          <w:w w:val="95"/>
        </w:rPr>
        <w:t xml:space="preserve">费、租赁费、会议费、 </w:t>
      </w:r>
      <w:r>
        <w:rPr>
          <w:spacing w:val="-9"/>
        </w:rPr>
        <w:t>培训费、公务接待费、专用材料费、被装购置费、专用燃料费、</w:t>
      </w:r>
      <w:r>
        <w:rPr>
          <w:spacing w:val="-19"/>
        </w:rPr>
        <w:t>劳务费、委托业务费、工会经费、福利费、公务用车运行维护费、</w:t>
      </w:r>
      <w:r>
        <w:rPr>
          <w:spacing w:val="-16"/>
        </w:rPr>
        <w:t>其他交通费用、税金及附加费用、其他商品和服务支出、国内债</w:t>
      </w:r>
      <w:r>
        <w:rPr>
          <w:spacing w:val="-14"/>
        </w:rPr>
        <w:t>务付息、办公设备购置、专用设备购置、信息网络及软件购置更</w:t>
      </w:r>
      <w:r>
        <w:rPr>
          <w:spacing w:val="-12"/>
        </w:rPr>
        <w:t>新、公务用车购置、其他交通工具购置、文物和陈列品购置、无形资产购置、其他资本性支出。</w:t>
      </w:r>
    </w:p>
    <w:p>
      <w:pPr>
        <w:pStyle w:val="3"/>
        <w:spacing w:line="390" w:lineRule="exact"/>
        <w:ind w:left="747"/>
        <w:rPr>
          <w:rFonts w:hint="eastAsia" w:ascii="宋体" w:hAnsi="宋体" w:eastAsia="宋体"/>
        </w:rPr>
      </w:pPr>
      <w:bookmarkStart w:id="6" w:name="七、一般公共预算财政拨款“三公”经费支出决算情况说明"/>
      <w:bookmarkEnd w:id="6"/>
      <w:r>
        <w:rPr>
          <w:rFonts w:hint="eastAsia" w:ascii="宋体" w:hAnsi="宋体" w:eastAsia="宋体"/>
          <w:spacing w:val="-12"/>
          <w:w w:val="95"/>
        </w:rPr>
        <w:t>七、一般公共预算财政拨款“三公”经费支出决算情况说明</w:t>
      </w:r>
    </w:p>
    <w:p>
      <w:pPr>
        <w:pStyle w:val="3"/>
        <w:spacing w:before="150" w:line="328" w:lineRule="auto"/>
        <w:ind w:left="747" w:right="391"/>
        <w:jc w:val="both"/>
      </w:pPr>
      <w:bookmarkStart w:id="7" w:name="（一）“三公”经费财政拨款支出决算总体情况说明。"/>
      <w:bookmarkEnd w:id="7"/>
      <w:r>
        <w:t>（一）“三公”经费财政拨款支出决算总体情况说明。20</w:t>
      </w:r>
      <w:r>
        <w:rPr>
          <w:rFonts w:hint="eastAsia"/>
          <w:lang w:val="en-US" w:eastAsia="zh-CN"/>
        </w:rPr>
        <w:t>20</w:t>
      </w:r>
      <w:r>
        <w:rPr>
          <w:spacing w:val="-9"/>
        </w:rPr>
        <w:t xml:space="preserve"> 年度“三公”经费财政拨款支出预算为</w:t>
      </w:r>
      <w:r>
        <w:rPr>
          <w:rFonts w:hint="eastAsia"/>
          <w:spacing w:val="-9"/>
          <w:lang w:val="en-US" w:eastAsia="zh-CN"/>
        </w:rPr>
        <w:t>64.55</w:t>
      </w:r>
      <w:r>
        <w:rPr>
          <w:spacing w:val="-18"/>
        </w:rPr>
        <w:t>万元，</w:t>
      </w:r>
    </w:p>
    <w:p>
      <w:pPr>
        <w:pStyle w:val="3"/>
        <w:spacing w:line="407" w:lineRule="exact"/>
        <w:ind w:left="108"/>
        <w:jc w:val="both"/>
      </w:pPr>
      <w:r>
        <w:t>支出决算为</w:t>
      </w:r>
      <w:r>
        <w:rPr>
          <w:rFonts w:hint="eastAsia"/>
          <w:spacing w:val="-9"/>
          <w:lang w:val="en-US" w:eastAsia="zh-CN"/>
        </w:rPr>
        <w:t>64.55</w:t>
      </w:r>
      <w:r>
        <w:t>万元，完成预算的 100%。</w:t>
      </w:r>
    </w:p>
    <w:p>
      <w:pPr>
        <w:pStyle w:val="3"/>
        <w:spacing w:before="149" w:line="328" w:lineRule="auto"/>
        <w:ind w:left="747" w:right="234"/>
        <w:jc w:val="both"/>
      </w:pPr>
      <w:bookmarkStart w:id="8" w:name="（二）“三公”经费财政拨款支出决算具体情况说明。"/>
      <w:bookmarkEnd w:id="8"/>
      <w:r>
        <w:t>（二）“三公”经费财政拨款支出决算具体情况说明。 20</w:t>
      </w:r>
      <w:r>
        <w:rPr>
          <w:rFonts w:hint="eastAsia"/>
          <w:lang w:val="en-US" w:eastAsia="zh-CN"/>
        </w:rPr>
        <w:t>20</w:t>
      </w:r>
      <w:r>
        <w:rPr>
          <w:spacing w:val="-24"/>
        </w:rPr>
        <w:t>年度“三公”经费财政拨款支出决算中，因公出国</w:t>
      </w:r>
      <w:r>
        <w:t>（境）</w:t>
      </w:r>
    </w:p>
    <w:p>
      <w:pPr>
        <w:pStyle w:val="3"/>
        <w:spacing w:line="328" w:lineRule="auto"/>
        <w:ind w:left="108" w:right="391"/>
        <w:jc w:val="both"/>
      </w:pPr>
      <w:r>
        <w:rPr>
          <w:spacing w:val="-11"/>
        </w:rPr>
        <w:t xml:space="preserve">费支出决算 </w:t>
      </w:r>
      <w:r>
        <w:t>0</w:t>
      </w:r>
      <w:r>
        <w:rPr>
          <w:spacing w:val="-15"/>
        </w:rPr>
        <w:t xml:space="preserve"> 万元，完成预算的 </w:t>
      </w:r>
      <w:r>
        <w:rPr>
          <w:spacing w:val="3"/>
        </w:rPr>
        <w:t>100</w:t>
      </w:r>
      <w:r>
        <w:rPr>
          <w:spacing w:val="2"/>
        </w:rPr>
        <w:t>%，；公务用车购置及运行</w:t>
      </w:r>
      <w:r>
        <w:rPr>
          <w:spacing w:val="-13"/>
        </w:rPr>
        <w:t xml:space="preserve">费支出决算 </w:t>
      </w:r>
      <w:r>
        <w:t>50</w:t>
      </w:r>
      <w:r>
        <w:rPr>
          <w:rFonts w:hint="eastAsia"/>
          <w:lang w:val="en-US" w:eastAsia="zh-CN"/>
        </w:rPr>
        <w:t>.05</w:t>
      </w:r>
      <w:r>
        <w:rPr>
          <w:spacing w:val="-17"/>
        </w:rPr>
        <w:t xml:space="preserve"> 万元，完成预算的</w:t>
      </w:r>
      <w:r>
        <w:rPr>
          <w:rFonts w:hint="eastAsia"/>
          <w:spacing w:val="-17"/>
          <w:lang w:val="en-US" w:eastAsia="zh-CN"/>
        </w:rPr>
        <w:t>100</w:t>
      </w:r>
      <w:r>
        <w:t>%</w:t>
      </w:r>
      <w:r>
        <w:rPr>
          <w:spacing w:val="-25"/>
        </w:rPr>
        <w:t xml:space="preserve">，占 </w:t>
      </w:r>
      <w:r>
        <w:rPr>
          <w:rFonts w:hint="eastAsia"/>
          <w:lang w:val="en-US" w:eastAsia="zh-CN"/>
        </w:rPr>
        <w:t>77.53</w:t>
      </w:r>
      <w:r>
        <w:t>%；公务接待</w:t>
      </w:r>
      <w:r>
        <w:rPr>
          <w:spacing w:val="-14"/>
        </w:rPr>
        <w:t xml:space="preserve">费支出决算 </w:t>
      </w:r>
      <w:r>
        <w:rPr>
          <w:rFonts w:hint="eastAsia"/>
          <w:lang w:val="en-US" w:eastAsia="zh-CN"/>
        </w:rPr>
        <w:t>14.5</w:t>
      </w:r>
      <w:r>
        <w:rPr>
          <w:spacing w:val="-22"/>
        </w:rPr>
        <w:t>万元，完成预算的</w:t>
      </w:r>
      <w:r>
        <w:rPr>
          <w:rFonts w:hint="eastAsia"/>
          <w:spacing w:val="-22"/>
          <w:lang w:val="en-US" w:eastAsia="zh-CN"/>
        </w:rPr>
        <w:t>100</w:t>
      </w:r>
      <w:r>
        <w:rPr>
          <w:spacing w:val="-7"/>
        </w:rPr>
        <w:t>%</w:t>
      </w:r>
      <w:r>
        <w:rPr>
          <w:spacing w:val="-30"/>
        </w:rPr>
        <w:t xml:space="preserve">，占 </w:t>
      </w:r>
      <w:r>
        <w:rPr>
          <w:rFonts w:hint="eastAsia"/>
          <w:lang w:val="en-US" w:eastAsia="zh-CN"/>
        </w:rPr>
        <w:t>22.46</w:t>
      </w:r>
      <w:r>
        <w:rPr>
          <w:spacing w:val="-9"/>
        </w:rPr>
        <w:t>%。具体情况如下：</w:t>
      </w:r>
    </w:p>
    <w:p>
      <w:pPr>
        <w:pStyle w:val="9"/>
        <w:numPr>
          <w:ilvl w:val="0"/>
          <w:numId w:val="3"/>
        </w:numPr>
        <w:tabs>
          <w:tab w:val="left" w:pos="1069"/>
        </w:tabs>
        <w:spacing w:before="202" w:after="0" w:line="328" w:lineRule="auto"/>
        <w:ind w:left="108" w:right="276" w:firstLine="638"/>
        <w:jc w:val="left"/>
        <w:rPr>
          <w:sz w:val="32"/>
        </w:rPr>
      </w:pPr>
      <w:r>
        <w:rPr>
          <w:spacing w:val="-30"/>
          <w:sz w:val="32"/>
        </w:rPr>
        <w:t>因公出国</w:t>
      </w:r>
      <w:r>
        <w:rPr>
          <w:sz w:val="32"/>
        </w:rPr>
        <w:t>（境</w:t>
      </w:r>
      <w:r>
        <w:rPr>
          <w:spacing w:val="-118"/>
          <w:sz w:val="32"/>
        </w:rPr>
        <w:t>）</w:t>
      </w:r>
      <w:r>
        <w:rPr>
          <w:spacing w:val="-12"/>
          <w:sz w:val="32"/>
        </w:rPr>
        <w:t xml:space="preserve">费年初预算为 </w:t>
      </w:r>
      <w:r>
        <w:rPr>
          <w:sz w:val="32"/>
        </w:rPr>
        <w:t>0.00</w:t>
      </w:r>
      <w:r>
        <w:rPr>
          <w:spacing w:val="-30"/>
          <w:sz w:val="32"/>
        </w:rPr>
        <w:t xml:space="preserve"> 万元，支出决算为 </w:t>
      </w:r>
      <w:r>
        <w:rPr>
          <w:sz w:val="32"/>
        </w:rPr>
        <w:t xml:space="preserve">0.00 </w:t>
      </w:r>
      <w:r>
        <w:rPr>
          <w:spacing w:val="-1"/>
          <w:sz w:val="32"/>
        </w:rPr>
        <w:t xml:space="preserve">万元，完成年初预算的 </w:t>
      </w:r>
      <w:r>
        <w:rPr>
          <w:sz w:val="32"/>
        </w:rPr>
        <w:t>0.00%。决算数与年初预算数没有差异。全年因公出国（境）团组 0</w:t>
      </w:r>
      <w:r>
        <w:rPr>
          <w:spacing w:val="-28"/>
          <w:sz w:val="32"/>
        </w:rPr>
        <w:t xml:space="preserve"> 个，累计 </w:t>
      </w:r>
      <w:r>
        <w:rPr>
          <w:sz w:val="32"/>
        </w:rPr>
        <w:t>0</w:t>
      </w:r>
      <w:r>
        <w:rPr>
          <w:spacing w:val="-21"/>
          <w:sz w:val="32"/>
        </w:rPr>
        <w:t xml:space="preserve"> 人次。</w:t>
      </w:r>
    </w:p>
    <w:p>
      <w:pPr>
        <w:pStyle w:val="9"/>
        <w:numPr>
          <w:ilvl w:val="0"/>
          <w:numId w:val="3"/>
        </w:numPr>
        <w:tabs>
          <w:tab w:val="left" w:pos="1069"/>
        </w:tabs>
        <w:spacing w:before="0" w:after="0" w:line="326" w:lineRule="auto"/>
        <w:ind w:left="108" w:right="393" w:firstLine="638"/>
        <w:jc w:val="left"/>
        <w:rPr>
          <w:sz w:val="32"/>
        </w:rPr>
      </w:pPr>
      <w:r>
        <w:rPr>
          <w:spacing w:val="-6"/>
          <w:sz w:val="32"/>
        </w:rPr>
        <w:t xml:space="preserve">公务用车购置及运行费年初预算为 </w:t>
      </w:r>
      <w:r>
        <w:rPr>
          <w:rFonts w:hint="eastAsia"/>
          <w:spacing w:val="-6"/>
          <w:sz w:val="32"/>
          <w:lang w:val="en-US" w:eastAsia="zh-CN"/>
        </w:rPr>
        <w:t>50.5</w:t>
      </w:r>
      <w:r>
        <w:rPr>
          <w:spacing w:val="-27"/>
          <w:sz w:val="32"/>
        </w:rPr>
        <w:t>万元，支出决算</w:t>
      </w:r>
      <w:r>
        <w:rPr>
          <w:spacing w:val="-55"/>
          <w:sz w:val="32"/>
        </w:rPr>
        <w:t xml:space="preserve">为 </w:t>
      </w:r>
      <w:r>
        <w:rPr>
          <w:rFonts w:hint="eastAsia"/>
          <w:spacing w:val="-6"/>
          <w:sz w:val="32"/>
          <w:lang w:val="en-US" w:eastAsia="zh-CN"/>
        </w:rPr>
        <w:t>50.5</w:t>
      </w:r>
      <w:r>
        <w:rPr>
          <w:spacing w:val="-16"/>
          <w:sz w:val="32"/>
        </w:rPr>
        <w:t xml:space="preserve">万元，完成年初预算的 </w:t>
      </w:r>
      <w:r>
        <w:rPr>
          <w:rFonts w:hint="eastAsia"/>
          <w:sz w:val="32"/>
          <w:lang w:val="en-US" w:eastAsia="zh-CN"/>
        </w:rPr>
        <w:t>100</w:t>
      </w:r>
      <w:r>
        <w:rPr>
          <w:sz w:val="32"/>
        </w:rPr>
        <w:t>%。</w:t>
      </w:r>
    </w:p>
    <w:p>
      <w:pPr>
        <w:pStyle w:val="3"/>
        <w:spacing w:before="1"/>
        <w:ind w:left="747"/>
      </w:pPr>
      <w:r>
        <w:t>公务用车购置支出为 0 万元，购置车辆 0 辆。</w:t>
      </w:r>
    </w:p>
    <w:p>
      <w:pPr>
        <w:pStyle w:val="3"/>
        <w:spacing w:before="149" w:line="328" w:lineRule="auto"/>
        <w:ind w:left="108" w:right="393" w:firstLine="638"/>
        <w:jc w:val="both"/>
      </w:pPr>
      <w:r>
        <w:rPr>
          <w:spacing w:val="-10"/>
        </w:rPr>
        <w:t xml:space="preserve">公务用车运行支出 </w:t>
      </w:r>
      <w:r>
        <w:t>50.00</w:t>
      </w:r>
      <w:r>
        <w:rPr>
          <w:spacing w:val="-26"/>
        </w:rPr>
        <w:t xml:space="preserve"> 元。主要用于人大机关 </w:t>
      </w:r>
      <w:r>
        <w:rPr>
          <w:rFonts w:hint="eastAsia"/>
          <w:lang w:val="en-US" w:eastAsia="zh-CN"/>
        </w:rPr>
        <w:t>7</w:t>
      </w:r>
      <w:r>
        <w:rPr>
          <w:spacing w:val="-17"/>
        </w:rPr>
        <w:t>辆公务用</w:t>
      </w:r>
      <w:r>
        <w:rPr>
          <w:spacing w:val="4"/>
        </w:rPr>
        <w:t>车的运行。</w:t>
      </w:r>
      <w:r>
        <w:t>20</w:t>
      </w:r>
      <w:r>
        <w:rPr>
          <w:rFonts w:hint="eastAsia"/>
          <w:lang w:val="en-US" w:eastAsia="zh-CN"/>
        </w:rPr>
        <w:t>20</w:t>
      </w:r>
      <w:r>
        <w:rPr>
          <w:spacing w:val="-6"/>
        </w:rPr>
        <w:t>年期末，部门开支财政拨款的公务用车保有量</w:t>
      </w:r>
      <w:r>
        <w:rPr>
          <w:spacing w:val="-41"/>
        </w:rPr>
        <w:t xml:space="preserve">为 </w:t>
      </w:r>
      <w:r>
        <w:rPr>
          <w:rFonts w:hint="eastAsia"/>
          <w:lang w:val="en-US" w:eastAsia="zh-CN"/>
        </w:rPr>
        <w:t>7</w:t>
      </w:r>
      <w:r>
        <w:rPr>
          <w:spacing w:val="-27"/>
        </w:rPr>
        <w:t xml:space="preserve"> 辆。</w:t>
      </w:r>
    </w:p>
    <w:p>
      <w:pPr>
        <w:pStyle w:val="9"/>
        <w:numPr>
          <w:ilvl w:val="0"/>
          <w:numId w:val="3"/>
        </w:numPr>
        <w:tabs>
          <w:tab w:val="left" w:pos="1069"/>
        </w:tabs>
        <w:spacing w:before="0" w:after="0" w:line="326" w:lineRule="auto"/>
        <w:ind w:left="108" w:right="234" w:firstLine="638"/>
        <w:jc w:val="both"/>
        <w:rPr>
          <w:sz w:val="32"/>
        </w:rPr>
      </w:pPr>
      <w:r>
        <w:rPr>
          <w:spacing w:val="-8"/>
          <w:sz w:val="32"/>
        </w:rPr>
        <w:t xml:space="preserve">公务接待费年初预算为 </w:t>
      </w:r>
      <w:r>
        <w:rPr>
          <w:sz w:val="32"/>
        </w:rPr>
        <w:t>20</w:t>
      </w:r>
      <w:r>
        <w:rPr>
          <w:spacing w:val="-30"/>
          <w:sz w:val="32"/>
        </w:rPr>
        <w:t xml:space="preserve"> 万元，支出决算为</w:t>
      </w:r>
      <w:r>
        <w:rPr>
          <w:rFonts w:hint="eastAsia"/>
          <w:spacing w:val="-30"/>
          <w:sz w:val="32"/>
          <w:lang w:val="en-US" w:eastAsia="zh-CN"/>
        </w:rPr>
        <w:t>14.5</w:t>
      </w:r>
      <w:r>
        <w:rPr>
          <w:spacing w:val="-21"/>
          <w:sz w:val="32"/>
        </w:rPr>
        <w:t xml:space="preserve"> 万元， </w:t>
      </w:r>
      <w:r>
        <w:rPr>
          <w:spacing w:val="-29"/>
          <w:sz w:val="32"/>
        </w:rPr>
        <w:t>完成年初预算的</w:t>
      </w:r>
      <w:r>
        <w:rPr>
          <w:rFonts w:hint="eastAsia"/>
          <w:spacing w:val="-29"/>
          <w:sz w:val="32"/>
          <w:lang w:val="en-US" w:eastAsia="zh-CN"/>
        </w:rPr>
        <w:t>72.5</w:t>
      </w:r>
      <w:r>
        <w:rPr>
          <w:sz w:val="32"/>
        </w:rPr>
        <w:t>%。</w:t>
      </w:r>
    </w:p>
    <w:p>
      <w:pPr>
        <w:pStyle w:val="3"/>
        <w:spacing w:before="1"/>
        <w:ind w:left="747"/>
        <w:jc w:val="both"/>
      </w:pPr>
      <w:r>
        <w:rPr>
          <w:spacing w:val="-12"/>
        </w:rPr>
        <w:t xml:space="preserve">外宾接待支出 </w:t>
      </w:r>
      <w:r>
        <w:t>0</w:t>
      </w:r>
      <w:r>
        <w:rPr>
          <w:spacing w:val="-31"/>
        </w:rPr>
        <w:t xml:space="preserve"> 万元。</w:t>
      </w:r>
      <w:r>
        <w:t>20</w:t>
      </w:r>
      <w:r>
        <w:rPr>
          <w:rFonts w:hint="eastAsia"/>
          <w:lang w:val="en-US" w:eastAsia="zh-CN"/>
        </w:rPr>
        <w:t>20</w:t>
      </w:r>
      <w:r>
        <w:rPr>
          <w:spacing w:val="-21"/>
        </w:rPr>
        <w:t xml:space="preserve"> 年共接待国</w:t>
      </w:r>
      <w:r>
        <w:t>（境</w:t>
      </w:r>
      <w:r>
        <w:rPr>
          <w:spacing w:val="-39"/>
        </w:rPr>
        <w:t>）</w:t>
      </w:r>
      <w:r>
        <w:rPr>
          <w:spacing w:val="-14"/>
        </w:rPr>
        <w:t xml:space="preserve">外来访团组 </w:t>
      </w:r>
      <w:r>
        <w:t>0</w:t>
      </w:r>
    </w:p>
    <w:p>
      <w:pPr>
        <w:pStyle w:val="3"/>
        <w:spacing w:before="149"/>
        <w:ind w:left="108"/>
        <w:jc w:val="both"/>
      </w:pPr>
      <w:r>
        <w:t>个、来访外宾 0 人次（不包括陪同人员）。</w:t>
      </w:r>
    </w:p>
    <w:p>
      <w:pPr>
        <w:pStyle w:val="3"/>
        <w:spacing w:before="149" w:line="328" w:lineRule="auto"/>
        <w:ind w:left="108" w:right="234" w:firstLine="638"/>
        <w:jc w:val="both"/>
      </w:pPr>
      <w:r>
        <w:rPr>
          <w:spacing w:val="-8"/>
        </w:rPr>
        <w:t xml:space="preserve">其他国内公务接待支出 </w:t>
      </w:r>
      <w:r>
        <w:t>16.16</w:t>
      </w:r>
      <w:r>
        <w:rPr>
          <w:spacing w:val="-17"/>
        </w:rPr>
        <w:t xml:space="preserve"> 万元。主要用于省市人大的视</w:t>
      </w:r>
      <w:r>
        <w:rPr>
          <w:spacing w:val="-21"/>
        </w:rPr>
        <w:t>察调研和兄弟县市的交流学习调研以及招商引资接待外商。</w:t>
      </w:r>
      <w:r>
        <w:rPr>
          <w:rFonts w:hint="eastAsia"/>
          <w:lang w:val="en-US" w:eastAsia="zh-CN"/>
        </w:rPr>
        <w:t>2020</w:t>
      </w:r>
      <w:r>
        <w:rPr>
          <w:spacing w:val="-8"/>
        </w:rPr>
        <w:t>年共接待国内来访团组</w:t>
      </w:r>
      <w:r>
        <w:rPr>
          <w:rFonts w:hint="eastAsia"/>
          <w:lang w:val="en-US" w:eastAsia="zh-CN"/>
        </w:rPr>
        <w:t>47</w:t>
      </w:r>
      <w:r>
        <w:rPr>
          <w:spacing w:val="-52"/>
        </w:rPr>
        <w:t xml:space="preserve">个、来宾 </w:t>
      </w:r>
      <w:r>
        <w:rPr>
          <w:rFonts w:hint="eastAsia"/>
          <w:lang w:val="en-US" w:eastAsia="zh-CN"/>
        </w:rPr>
        <w:t>288</w:t>
      </w:r>
      <w:r>
        <w:rPr>
          <w:spacing w:val="-74"/>
        </w:rPr>
        <w:t>人次</w:t>
      </w:r>
      <w:r>
        <w:t>（不包括陪同人员</w:t>
      </w:r>
      <w:r>
        <w:rPr>
          <w:spacing w:val="-159"/>
        </w:rPr>
        <w:t>）</w:t>
      </w:r>
      <w:r>
        <w:t>。</w:t>
      </w:r>
    </w:p>
    <w:p>
      <w:pPr>
        <w:pStyle w:val="3"/>
        <w:spacing w:line="405" w:lineRule="exact"/>
        <w:ind w:left="747"/>
        <w:rPr>
          <w:rFonts w:hint="eastAsia" w:ascii="宋体" w:eastAsia="宋体"/>
        </w:rPr>
      </w:pPr>
      <w:r>
        <w:rPr>
          <w:rFonts w:hint="eastAsia" w:ascii="宋体" w:eastAsia="宋体"/>
        </w:rPr>
        <w:t>八、预算绩效情况说明</w:t>
      </w:r>
    </w:p>
    <w:p>
      <w:pPr>
        <w:pStyle w:val="3"/>
        <w:spacing w:before="152"/>
        <w:ind w:left="747"/>
      </w:pPr>
      <w:r>
        <w:t>（一）绩效管理工作开展情况。</w:t>
      </w:r>
    </w:p>
    <w:p>
      <w:pPr>
        <w:pStyle w:val="3"/>
        <w:spacing w:before="149" w:line="326" w:lineRule="auto"/>
        <w:ind w:left="108" w:right="393" w:firstLine="638"/>
      </w:pPr>
      <w:r>
        <w:rPr>
          <w:spacing w:val="-7"/>
        </w:rPr>
        <w:t>围绕绩效管理工作设置了指标设置、考评实施、结果运用等环节，完善制度办法，促进绩效管理工作规范运行。</w:t>
      </w:r>
    </w:p>
    <w:p>
      <w:pPr>
        <w:pStyle w:val="3"/>
        <w:spacing w:before="5" w:line="326" w:lineRule="auto"/>
        <w:ind w:left="747" w:right="4757"/>
      </w:pPr>
      <w:r>
        <w:t>（二）项目绩效自评结果。项目绩效自评结果为优。</w:t>
      </w:r>
    </w:p>
    <w:p>
      <w:pPr>
        <w:pStyle w:val="3"/>
        <w:spacing w:before="4"/>
        <w:ind w:left="747"/>
      </w:pPr>
      <w:r>
        <w:t>（三）以部门为主体开展的重点绩效评价结果。</w:t>
      </w:r>
    </w:p>
    <w:p>
      <w:pPr>
        <w:pStyle w:val="3"/>
        <w:spacing w:before="202"/>
        <w:ind w:left="747"/>
      </w:pPr>
      <w:r>
        <w:t>以部门为主体开展的重点绩效评价结果为优。</w:t>
      </w:r>
    </w:p>
    <w:p>
      <w:pPr>
        <w:pStyle w:val="3"/>
        <w:spacing w:before="150"/>
        <w:ind w:left="747"/>
        <w:rPr>
          <w:rFonts w:hint="eastAsia" w:ascii="宋体" w:eastAsia="宋体"/>
        </w:rPr>
      </w:pPr>
      <w:bookmarkStart w:id="9" w:name="九、政府性基金预算财政拨款支出决算情况说明"/>
      <w:bookmarkEnd w:id="9"/>
      <w:r>
        <w:rPr>
          <w:rFonts w:hint="eastAsia" w:ascii="宋体" w:eastAsia="宋体"/>
        </w:rPr>
        <w:t>九、政府性基金预算财政拨款支出决算情况说明</w:t>
      </w:r>
    </w:p>
    <w:p>
      <w:pPr>
        <w:pStyle w:val="3"/>
        <w:spacing w:before="151" w:line="326" w:lineRule="auto"/>
        <w:ind w:left="108" w:right="234" w:firstLine="638"/>
      </w:pPr>
      <w:r>
        <w:rPr>
          <w:rFonts w:hint="eastAsia"/>
          <w:lang w:val="en-US" w:eastAsia="zh-CN"/>
        </w:rPr>
        <w:t>2020</w:t>
      </w:r>
      <w:r>
        <w:rPr>
          <w:spacing w:val="-15"/>
        </w:rPr>
        <w:t xml:space="preserve"> 年度政府性基金预算财政拨款支出年初预算为 </w:t>
      </w:r>
      <w:r>
        <w:t>0</w:t>
      </w:r>
      <w:r>
        <w:rPr>
          <w:spacing w:val="-24"/>
        </w:rPr>
        <w:t xml:space="preserve"> 万元， </w:t>
      </w:r>
      <w:r>
        <w:rPr>
          <w:spacing w:val="-34"/>
        </w:rPr>
        <w:t xml:space="preserve">支出决算为 </w:t>
      </w:r>
      <w:r>
        <w:t>0</w:t>
      </w:r>
      <w:r>
        <w:rPr>
          <w:spacing w:val="-16"/>
        </w:rPr>
        <w:t xml:space="preserve"> 万元，完成年初预算的 </w:t>
      </w:r>
      <w:r>
        <w:t>100%。</w:t>
      </w:r>
    </w:p>
    <w:p>
      <w:pPr>
        <w:pStyle w:val="3"/>
        <w:spacing w:before="3"/>
        <w:ind w:left="747"/>
        <w:rPr>
          <w:rFonts w:hint="eastAsia" w:ascii="宋体" w:eastAsia="宋体"/>
        </w:rPr>
      </w:pPr>
      <w:bookmarkStart w:id="10" w:name="十、机关运行经费支出情况说明"/>
      <w:bookmarkEnd w:id="10"/>
      <w:r>
        <w:rPr>
          <w:rFonts w:hint="eastAsia" w:ascii="宋体" w:eastAsia="宋体"/>
        </w:rPr>
        <w:t>十、机关运行经费支出情况说明</w:t>
      </w:r>
    </w:p>
    <w:p>
      <w:pPr>
        <w:pStyle w:val="3"/>
        <w:spacing w:before="152" w:line="326" w:lineRule="auto"/>
        <w:ind w:left="108" w:right="393" w:firstLine="638"/>
      </w:pPr>
      <w:r>
        <w:t>20</w:t>
      </w:r>
      <w:r>
        <w:rPr>
          <w:rFonts w:hint="eastAsia"/>
          <w:lang w:val="en-US" w:eastAsia="zh-CN"/>
        </w:rPr>
        <w:t>20</w:t>
      </w:r>
      <w:r>
        <w:rPr>
          <w:spacing w:val="-11"/>
        </w:rPr>
        <w:t>年度机关运行经费</w:t>
      </w:r>
      <w:r>
        <w:rPr>
          <w:u w:val="dotted"/>
        </w:rPr>
        <w:t>年</w:t>
      </w:r>
      <w:r>
        <w:rPr>
          <w:spacing w:val="-17"/>
        </w:rPr>
        <w:t>初预算为</w:t>
      </w:r>
      <w:r>
        <w:rPr>
          <w:rFonts w:hint="eastAsia"/>
          <w:spacing w:val="-17"/>
          <w:lang w:val="en-US" w:eastAsia="zh-CN"/>
        </w:rPr>
        <w:t>435.3</w:t>
      </w:r>
      <w:r>
        <w:rPr>
          <w:spacing w:val="-16"/>
        </w:rPr>
        <w:t>万元，支出决算</w:t>
      </w:r>
      <w:r>
        <w:rPr>
          <w:spacing w:val="-49"/>
        </w:rPr>
        <w:t xml:space="preserve">为 </w:t>
      </w:r>
      <w:r>
        <w:rPr>
          <w:rFonts w:hint="eastAsia"/>
          <w:spacing w:val="-17"/>
          <w:lang w:val="en-US" w:eastAsia="zh-CN"/>
        </w:rPr>
        <w:t>435.3</w:t>
      </w:r>
      <w:r>
        <w:rPr>
          <w:spacing w:val="-16"/>
        </w:rPr>
        <w:t xml:space="preserve">万元，完成年初预算的 </w:t>
      </w:r>
      <w:r>
        <w:t>100%。</w:t>
      </w:r>
    </w:p>
    <w:p>
      <w:pPr>
        <w:pStyle w:val="3"/>
        <w:spacing w:before="3"/>
        <w:ind w:left="747"/>
        <w:rPr>
          <w:rFonts w:hint="eastAsia" w:ascii="宋体" w:eastAsia="宋体"/>
        </w:rPr>
      </w:pPr>
      <w:r>
        <w:rPr>
          <w:rFonts w:hint="eastAsia" w:ascii="宋体" w:eastAsia="宋体"/>
        </w:rPr>
        <w:t>十一、政府采购支出情况说明</w:t>
      </w:r>
    </w:p>
    <w:p>
      <w:pPr>
        <w:pStyle w:val="3"/>
        <w:spacing w:before="152"/>
        <w:ind w:left="747"/>
        <w:jc w:val="both"/>
      </w:pPr>
      <w:r>
        <w:t>20</w:t>
      </w:r>
      <w:r>
        <w:rPr>
          <w:rFonts w:hint="eastAsia"/>
          <w:lang w:val="en-US" w:eastAsia="zh-CN"/>
        </w:rPr>
        <w:t>20</w:t>
      </w:r>
      <w:r>
        <w:t>年度政府采购支出总额 0 万元，其中：政府采购货物</w:t>
      </w:r>
    </w:p>
    <w:p>
      <w:pPr>
        <w:pStyle w:val="3"/>
        <w:spacing w:before="149" w:line="328" w:lineRule="auto"/>
        <w:ind w:left="108" w:right="234"/>
        <w:jc w:val="both"/>
      </w:pPr>
      <w:r>
        <w:rPr>
          <w:spacing w:val="-28"/>
        </w:rPr>
        <w:t xml:space="preserve">支出 </w:t>
      </w:r>
      <w:r>
        <w:t>0</w:t>
      </w:r>
      <w:r>
        <w:rPr>
          <w:spacing w:val="-21"/>
        </w:rPr>
        <w:t xml:space="preserve"> 万元、政府采购工程支出 </w:t>
      </w:r>
      <w:r>
        <w:t>0</w:t>
      </w:r>
      <w:r>
        <w:rPr>
          <w:spacing w:val="-21"/>
        </w:rPr>
        <w:t xml:space="preserve"> 万元、政府采购服务支出 </w:t>
      </w:r>
      <w:r>
        <w:t>0</w:t>
      </w:r>
      <w:r>
        <w:rPr>
          <w:spacing w:val="-41"/>
        </w:rPr>
        <w:t xml:space="preserve"> 万</w:t>
      </w:r>
      <w:r>
        <w:rPr>
          <w:spacing w:val="-4"/>
        </w:rPr>
        <w:t xml:space="preserve">元。授予中小企业合同 </w:t>
      </w:r>
      <w:r>
        <w:t>0</w:t>
      </w:r>
      <w:r>
        <w:rPr>
          <w:spacing w:val="-10"/>
        </w:rPr>
        <w:t xml:space="preserve"> 万元，占政府采购支出总额的 </w:t>
      </w:r>
      <w:r>
        <w:rPr>
          <w:spacing w:val="4"/>
        </w:rPr>
        <w:t>0</w:t>
      </w:r>
      <w:r>
        <w:rPr>
          <w:spacing w:val="2"/>
        </w:rPr>
        <w:t>%，其</w:t>
      </w:r>
      <w:r>
        <w:rPr>
          <w:spacing w:val="-11"/>
        </w:rPr>
        <w:t xml:space="preserve">中：授予小微企业合同金额 </w:t>
      </w:r>
      <w:r>
        <w:t>0</w:t>
      </w:r>
      <w:r>
        <w:rPr>
          <w:spacing w:val="-16"/>
        </w:rPr>
        <w:t xml:space="preserve"> 万元，占政府采购支出总额的 </w:t>
      </w:r>
      <w:r>
        <w:t>0%。</w:t>
      </w:r>
    </w:p>
    <w:p>
      <w:pPr>
        <w:pStyle w:val="3"/>
        <w:spacing w:line="405" w:lineRule="exact"/>
        <w:ind w:left="747"/>
        <w:rPr>
          <w:rFonts w:hint="eastAsia" w:ascii="宋体" w:eastAsia="宋体"/>
        </w:rPr>
      </w:pPr>
      <w:r>
        <w:rPr>
          <w:rFonts w:hint="eastAsia" w:ascii="宋体" w:eastAsia="宋体"/>
        </w:rPr>
        <w:t>十二、国有资产占用情况说明</w:t>
      </w:r>
    </w:p>
    <w:p>
      <w:pPr>
        <w:pStyle w:val="3"/>
        <w:spacing w:before="149"/>
        <w:ind w:right="393"/>
        <w:jc w:val="right"/>
      </w:pPr>
      <w:r>
        <w:t>20</w:t>
      </w:r>
      <w:r>
        <w:rPr>
          <w:rFonts w:hint="eastAsia"/>
          <w:lang w:val="en-US" w:eastAsia="zh-CN"/>
        </w:rPr>
        <w:t>20</w:t>
      </w:r>
      <w:r>
        <w:rPr>
          <w:spacing w:val="-10"/>
        </w:rPr>
        <w:t xml:space="preserve">年期末，我部门共有车辆 </w:t>
      </w:r>
      <w:r>
        <w:rPr>
          <w:rFonts w:hint="eastAsia"/>
          <w:lang w:val="en-US" w:eastAsia="zh-CN"/>
        </w:rPr>
        <w:t>7</w:t>
      </w:r>
      <w:r>
        <w:rPr>
          <w:spacing w:val="-4"/>
        </w:rPr>
        <w:t xml:space="preserve"> 辆，其中：省级领导干部</w:t>
      </w:r>
    </w:p>
    <w:p>
      <w:pPr>
        <w:pStyle w:val="3"/>
        <w:spacing w:before="152"/>
        <w:ind w:right="391"/>
        <w:jc w:val="right"/>
      </w:pPr>
      <w:r>
        <w:rPr>
          <w:spacing w:val="-28"/>
        </w:rPr>
        <w:t xml:space="preserve">用车 </w:t>
      </w:r>
      <w:r>
        <w:t>0</w:t>
      </w:r>
      <w:r>
        <w:rPr>
          <w:spacing w:val="-19"/>
        </w:rPr>
        <w:t xml:space="preserve"> 辆、主要领导干部用车 </w:t>
      </w:r>
      <w:r>
        <w:t>0</w:t>
      </w:r>
      <w:r>
        <w:rPr>
          <w:spacing w:val="-19"/>
        </w:rPr>
        <w:t xml:space="preserve"> 辆、机要通信用车用车 </w:t>
      </w:r>
      <w:r>
        <w:t>2</w:t>
      </w:r>
      <w:r>
        <w:rPr>
          <w:spacing w:val="-30"/>
        </w:rPr>
        <w:t xml:space="preserve"> 辆、应</w:t>
      </w:r>
    </w:p>
    <w:p>
      <w:pPr>
        <w:pStyle w:val="3"/>
        <w:spacing w:before="149"/>
        <w:ind w:left="108"/>
      </w:pPr>
      <w:r>
        <w:rPr>
          <w:spacing w:val="-12"/>
        </w:rPr>
        <w:t xml:space="preserve">急保障车用车 </w:t>
      </w:r>
      <w:r>
        <w:t>2</w:t>
      </w:r>
      <w:r>
        <w:rPr>
          <w:spacing w:val="-31"/>
        </w:rPr>
        <w:t xml:space="preserve"> 辆、执法执勤用车 </w:t>
      </w:r>
      <w:r>
        <w:t>0</w:t>
      </w:r>
      <w:r>
        <w:rPr>
          <w:spacing w:val="-26"/>
        </w:rPr>
        <w:t xml:space="preserve"> 辆、特种专业技术用车 </w:t>
      </w:r>
      <w:r>
        <w:t>0</w:t>
      </w:r>
      <w:r>
        <w:rPr>
          <w:spacing w:val="-28"/>
        </w:rPr>
        <w:t xml:space="preserve"> 辆、</w:t>
      </w:r>
    </w:p>
    <w:p>
      <w:pPr>
        <w:pStyle w:val="3"/>
        <w:spacing w:before="149"/>
        <w:ind w:left="108"/>
      </w:pPr>
      <w:r>
        <w:rPr>
          <w:spacing w:val="-10"/>
        </w:rPr>
        <w:t xml:space="preserve">离退休干部用车 </w:t>
      </w:r>
      <w:r>
        <w:t>0</w:t>
      </w:r>
      <w:r>
        <w:rPr>
          <w:spacing w:val="-21"/>
        </w:rPr>
        <w:t xml:space="preserve"> 辆、其他用车</w:t>
      </w:r>
      <w:r>
        <w:rPr>
          <w:rFonts w:hint="eastAsia"/>
          <w:spacing w:val="-21"/>
          <w:lang w:val="en-US" w:eastAsia="zh-CN"/>
        </w:rPr>
        <w:t>3</w:t>
      </w:r>
      <w:r>
        <w:rPr>
          <w:spacing w:val="-20"/>
        </w:rPr>
        <w:t xml:space="preserve">辆；单位价值 </w:t>
      </w:r>
      <w:r>
        <w:t>50</w:t>
      </w:r>
      <w:r>
        <w:rPr>
          <w:spacing w:val="-14"/>
        </w:rPr>
        <w:t xml:space="preserve"> 万元以上通</w:t>
      </w:r>
    </w:p>
    <w:p>
      <w:pPr>
        <w:pStyle w:val="3"/>
        <w:spacing w:before="152"/>
        <w:ind w:left="108"/>
      </w:pPr>
      <w:r>
        <w:rPr>
          <w:spacing w:val="-21"/>
        </w:rPr>
        <w:t xml:space="preserve">用设备 </w:t>
      </w:r>
      <w:r>
        <w:t>0</w:t>
      </w:r>
      <w:r>
        <w:rPr>
          <w:spacing w:val="-57"/>
        </w:rPr>
        <w:t xml:space="preserve"> 台</w:t>
      </w:r>
      <w:r>
        <w:t>（套</w:t>
      </w:r>
      <w:r>
        <w:rPr>
          <w:spacing w:val="-31"/>
        </w:rPr>
        <w:t>），</w:t>
      </w:r>
      <w:r>
        <w:rPr>
          <w:spacing w:val="-17"/>
        </w:rPr>
        <w:t xml:space="preserve">单位价值 </w:t>
      </w:r>
      <w:r>
        <w:t>100</w:t>
      </w:r>
      <w:r>
        <w:rPr>
          <w:spacing w:val="-18"/>
        </w:rPr>
        <w:t xml:space="preserve"> 万元以上专用设备 </w:t>
      </w:r>
      <w:r>
        <w:t>0</w:t>
      </w:r>
      <w:r>
        <w:rPr>
          <w:spacing w:val="-57"/>
        </w:rPr>
        <w:t xml:space="preserve"> 台</w:t>
      </w:r>
      <w:r>
        <w:t>（套</w:t>
      </w:r>
      <w:r>
        <w:rPr>
          <w:spacing w:val="-31"/>
        </w:rPr>
        <w:t>）</w:t>
      </w:r>
      <w:r>
        <w:t>。</w:t>
      </w:r>
    </w:p>
    <w:p>
      <w:pPr>
        <w:spacing w:after="0"/>
        <w:sectPr>
          <w:footerReference r:id="rId11" w:type="default"/>
          <w:pgSz w:w="11910" w:h="16840"/>
          <w:pgMar w:top="1580" w:right="1080" w:bottom="1180" w:left="1480" w:header="0" w:footer="993" w:gutter="0"/>
          <w:pgBorders>
            <w:top w:val="none" w:sz="0" w:space="0"/>
            <w:left w:val="none" w:sz="0" w:space="0"/>
            <w:bottom w:val="none" w:sz="0" w:space="0"/>
            <w:right w:val="none" w:sz="0" w:space="0"/>
          </w:pgBorders>
          <w:cols w:space="720" w:num="1"/>
        </w:sectPr>
      </w:pPr>
    </w:p>
    <w:p>
      <w:pPr>
        <w:pStyle w:val="3"/>
        <w:spacing w:before="10"/>
        <w:rPr>
          <w:sz w:val="20"/>
        </w:rPr>
      </w:pPr>
    </w:p>
    <w:p>
      <w:pPr>
        <w:pStyle w:val="2"/>
        <w:tabs>
          <w:tab w:val="left" w:pos="4428"/>
        </w:tabs>
        <w:ind w:left="2028"/>
        <w:rPr>
          <w:rFonts w:hint="eastAsia" w:ascii="黑体" w:eastAsia="黑体"/>
        </w:rPr>
      </w:pPr>
      <w:r>
        <w:rPr>
          <w:rFonts w:hint="eastAsia" w:ascii="黑体" w:eastAsia="黑体"/>
        </w:rPr>
        <w:t>第四部分</w:t>
      </w:r>
      <w:r>
        <w:rPr>
          <w:rFonts w:hint="eastAsia" w:ascii="黑体" w:eastAsia="黑体"/>
        </w:rPr>
        <w:tab/>
      </w:r>
      <w:r>
        <w:rPr>
          <w:rFonts w:hint="eastAsia" w:ascii="黑体" w:eastAsia="黑体"/>
        </w:rPr>
        <w:t>名词解释</w:t>
      </w:r>
    </w:p>
    <w:p>
      <w:pPr>
        <w:pStyle w:val="3"/>
        <w:rPr>
          <w:rFonts w:ascii="黑体"/>
          <w:sz w:val="52"/>
        </w:rPr>
      </w:pPr>
    </w:p>
    <w:p>
      <w:pPr>
        <w:pStyle w:val="3"/>
        <w:spacing w:line="326" w:lineRule="auto"/>
        <w:ind w:left="108" w:right="393" w:firstLine="638"/>
      </w:pPr>
      <w:r>
        <w:rPr>
          <w:spacing w:val="-11"/>
        </w:rPr>
        <w:t>一、财政拨款收入：单位从同级政府财政部门取得的财政预算资金。</w:t>
      </w:r>
    </w:p>
    <w:p>
      <w:pPr>
        <w:pStyle w:val="3"/>
        <w:spacing w:before="3" w:line="328" w:lineRule="auto"/>
        <w:ind w:left="108" w:right="393" w:firstLine="638"/>
      </w:pPr>
      <w:r>
        <w:rPr>
          <w:spacing w:val="-11"/>
        </w:rPr>
        <w:t>二、事业收入：事业单位开展专业业务活动及其辅助活动取得的收入。</w:t>
      </w:r>
    </w:p>
    <w:p>
      <w:pPr>
        <w:pStyle w:val="3"/>
        <w:spacing w:line="326" w:lineRule="auto"/>
        <w:ind w:left="108" w:right="393" w:firstLine="638"/>
      </w:pPr>
      <w:r>
        <w:rPr>
          <w:spacing w:val="-11"/>
        </w:rPr>
        <w:t>三、上级补助收入：事业单位从主管部门和上级单位取得的非财政补助收入。</w:t>
      </w:r>
    </w:p>
    <w:p>
      <w:pPr>
        <w:pStyle w:val="3"/>
        <w:spacing w:before="3" w:line="326" w:lineRule="auto"/>
        <w:ind w:left="108" w:right="391" w:firstLine="638"/>
      </w:pPr>
      <w:r>
        <w:rPr>
          <w:spacing w:val="-12"/>
        </w:rPr>
        <w:t>四、附属单位上缴收入：事业单位取得附属独立核算单位根据有关规定上缴的收入。</w:t>
      </w:r>
    </w:p>
    <w:p>
      <w:pPr>
        <w:pStyle w:val="3"/>
        <w:spacing w:before="3" w:line="328" w:lineRule="auto"/>
        <w:ind w:left="108" w:right="395" w:firstLine="638"/>
      </w:pPr>
      <w:r>
        <w:rPr>
          <w:spacing w:val="-11"/>
        </w:rPr>
        <w:t>五、经营收入：事业单位在专业业务活动及其辅助活动之外开展非独立核算经营活动取得的收入。</w:t>
      </w:r>
    </w:p>
    <w:p>
      <w:pPr>
        <w:pStyle w:val="3"/>
        <w:spacing w:line="328" w:lineRule="auto"/>
        <w:ind w:left="108" w:right="234" w:firstLine="638"/>
      </w:pPr>
      <w:r>
        <w:rPr>
          <w:spacing w:val="-11"/>
        </w:rPr>
        <w:t>六、其他收入：单位取得的除“财政拨款收入”、“事业收</w:t>
      </w:r>
      <w:r>
        <w:rPr>
          <w:spacing w:val="-18"/>
          <w:w w:val="95"/>
        </w:rPr>
        <w:t xml:space="preserve">入”、“上级补助收入”、“附属单位上缴收入”、“经营收入” </w:t>
      </w:r>
      <w:r>
        <w:rPr>
          <w:spacing w:val="-18"/>
        </w:rPr>
        <w:t>以外的各项收入。</w:t>
      </w:r>
    </w:p>
    <w:p>
      <w:pPr>
        <w:pStyle w:val="3"/>
        <w:spacing w:line="328" w:lineRule="auto"/>
        <w:ind w:left="108" w:right="391" w:firstLine="638"/>
        <w:jc w:val="both"/>
      </w:pPr>
      <w:r>
        <w:rPr>
          <w:spacing w:val="-12"/>
        </w:rPr>
        <w:t>七、用事业基金弥补收支差额：事业单位在当年收入不足以</w:t>
      </w:r>
      <w:r>
        <w:rPr>
          <w:spacing w:val="-16"/>
        </w:rPr>
        <w:t>安排当年支出的情况下，使用以前年度积累的事业基金</w:t>
      </w:r>
      <w:r>
        <w:t>（事业单</w:t>
      </w:r>
      <w:r>
        <w:rPr>
          <w:spacing w:val="-8"/>
        </w:rPr>
        <w:t>位当年收支相抵后按国家规定提取、用于弥补以后年度收支差额的基金）弥补当年收支缺口的资金。</w:t>
      </w:r>
    </w:p>
    <w:p>
      <w:pPr>
        <w:pStyle w:val="3"/>
        <w:spacing w:line="328" w:lineRule="auto"/>
        <w:ind w:left="108" w:right="391" w:firstLine="638"/>
      </w:pPr>
      <w:r>
        <w:rPr>
          <w:spacing w:val="-12"/>
        </w:rPr>
        <w:t>八、基本支出：为保障机构正常运转、完成日常工作任务而发生的人员支出和公用支出。</w:t>
      </w:r>
    </w:p>
    <w:p>
      <w:pPr>
        <w:pStyle w:val="3"/>
        <w:spacing w:line="326" w:lineRule="auto"/>
        <w:ind w:left="108" w:right="395" w:firstLine="638"/>
      </w:pPr>
      <w:r>
        <w:rPr>
          <w:spacing w:val="-11"/>
        </w:rPr>
        <w:t>九、项目支出：基本支出之外为完成特定行政任务和事业发展目标所发生的支出。</w:t>
      </w:r>
    </w:p>
    <w:p>
      <w:pPr>
        <w:spacing w:after="0" w:line="326" w:lineRule="auto"/>
        <w:sectPr>
          <w:pgSz w:w="11910" w:h="16840"/>
          <w:pgMar w:top="1580" w:right="1080" w:bottom="1180" w:left="1480" w:header="0" w:footer="993" w:gutter="0"/>
          <w:pgBorders>
            <w:top w:val="none" w:sz="0" w:space="0"/>
            <w:left w:val="none" w:sz="0" w:space="0"/>
            <w:bottom w:val="none" w:sz="0" w:space="0"/>
            <w:right w:val="none" w:sz="0" w:space="0"/>
          </w:pgBorders>
          <w:cols w:space="720" w:num="1"/>
        </w:sectPr>
      </w:pPr>
    </w:p>
    <w:p>
      <w:pPr>
        <w:pStyle w:val="3"/>
        <w:rPr>
          <w:sz w:val="20"/>
        </w:rPr>
      </w:pPr>
    </w:p>
    <w:p>
      <w:pPr>
        <w:pStyle w:val="3"/>
        <w:spacing w:before="202" w:line="328" w:lineRule="auto"/>
        <w:ind w:left="108" w:right="234" w:firstLine="638"/>
      </w:pPr>
      <w:r>
        <w:rPr>
          <w:spacing w:val="-19"/>
          <w:w w:val="95"/>
        </w:rPr>
        <w:t xml:space="preserve">十、“三公”经费：纳入同级财政预决算管理“三公”经费， </w:t>
      </w:r>
      <w:r>
        <w:rPr>
          <w:spacing w:val="-21"/>
        </w:rPr>
        <w:t>指部门使用财政拨款安排的因公出国</w:t>
      </w:r>
      <w:r>
        <w:t>（境</w:t>
      </w:r>
      <w:r>
        <w:rPr>
          <w:spacing w:val="-39"/>
        </w:rPr>
        <w:t>）</w:t>
      </w:r>
      <w:r>
        <w:rPr>
          <w:spacing w:val="-7"/>
        </w:rPr>
        <w:t>费、公务用车购置及</w:t>
      </w:r>
      <w:r>
        <w:rPr>
          <w:spacing w:val="-13"/>
        </w:rPr>
        <w:t>运行费和公务接待费。其中，因公出国</w:t>
      </w:r>
      <w:r>
        <w:t>（境</w:t>
      </w:r>
      <w:r>
        <w:rPr>
          <w:spacing w:val="-29"/>
        </w:rPr>
        <w:t>）</w:t>
      </w:r>
      <w:r>
        <w:t>费反映单位公务出</w:t>
      </w:r>
      <w:r>
        <w:rPr>
          <w:spacing w:val="-19"/>
        </w:rPr>
        <w:t>国</w:t>
      </w:r>
      <w:r>
        <w:t>（境</w:t>
      </w:r>
      <w:r>
        <w:rPr>
          <w:spacing w:val="-17"/>
        </w:rPr>
        <w:t>）</w:t>
      </w:r>
      <w:r>
        <w:rPr>
          <w:spacing w:val="-7"/>
        </w:rPr>
        <w:t>的国际旅费、国外城市间交通费、住宿费、伙食费、培</w:t>
      </w:r>
      <w:r>
        <w:rPr>
          <w:spacing w:val="-12"/>
        </w:rPr>
        <w:t>训费、公杂费等支出；公务用车购置及运行费反映反映单位公务</w:t>
      </w:r>
      <w:r>
        <w:rPr>
          <w:spacing w:val="-19"/>
          <w:w w:val="95"/>
        </w:rPr>
        <w:t>用车车辆购置支出</w:t>
      </w:r>
      <w:r>
        <w:rPr>
          <w:w w:val="95"/>
        </w:rPr>
        <w:t>（含车辆购置税</w:t>
      </w:r>
      <w:r>
        <w:rPr>
          <w:spacing w:val="-70"/>
          <w:w w:val="95"/>
        </w:rPr>
        <w:t>）</w:t>
      </w:r>
      <w:r>
        <w:rPr>
          <w:spacing w:val="-13"/>
          <w:w w:val="95"/>
        </w:rPr>
        <w:t xml:space="preserve">及租用费、燃料费、维修费、 </w:t>
      </w:r>
      <w:r>
        <w:rPr>
          <w:spacing w:val="-15"/>
        </w:rPr>
        <w:t>过路过桥费、保险费、安全奖励费用等支出；公务接待费反映单位按规定开支的各类公务接待（含外宾接待）支出。</w:t>
      </w:r>
    </w:p>
    <w:p>
      <w:pPr>
        <w:pStyle w:val="3"/>
        <w:spacing w:line="397" w:lineRule="exact"/>
        <w:ind w:left="747"/>
      </w:pPr>
      <w:r>
        <w:t>十一、机关运行经费：为保障行政单位（含参照公务员法管</w:t>
      </w:r>
    </w:p>
    <w:p>
      <w:pPr>
        <w:pStyle w:val="3"/>
        <w:spacing w:before="150" w:line="328" w:lineRule="auto"/>
        <w:ind w:left="108" w:right="276"/>
      </w:pPr>
      <w:r>
        <w:t>理的事业单位</w:t>
      </w:r>
      <w:r>
        <w:rPr>
          <w:spacing w:val="-58"/>
        </w:rPr>
        <w:t>）</w:t>
      </w:r>
      <w:r>
        <w:rPr>
          <w:spacing w:val="-4"/>
        </w:rPr>
        <w:t>运行用于购买货物和服务的各项资金，包括办公</w:t>
      </w:r>
      <w:r>
        <w:rPr>
          <w:spacing w:val="-12"/>
        </w:rPr>
        <w:t>及印刷费、邮电费、差旅费、会议费、福利费、日常维修费、专用材料及一般设备购置费、办公用房水电费、办公用房取暖费、办公用房物业管理费、公务用车运行维护费以及其他费用。</w:t>
      </w:r>
    </w:p>
    <w:p>
      <w:pPr>
        <w:pStyle w:val="3"/>
        <w:spacing w:line="328" w:lineRule="auto"/>
        <w:ind w:left="108" w:right="393" w:firstLine="638"/>
        <w:jc w:val="both"/>
      </w:pPr>
      <w:r>
        <w:rPr>
          <w:spacing w:val="-11"/>
        </w:rPr>
        <w:t>十二、工资福利支出：单位支付给在职职工和编制外长期聘</w:t>
      </w:r>
      <w:r>
        <w:rPr>
          <w:spacing w:val="-16"/>
          <w:w w:val="95"/>
        </w:rPr>
        <w:t xml:space="preserve">用人员的各类劳动报酬，以及为上述人员缴纳的各项社会保险费 </w:t>
      </w:r>
      <w:r>
        <w:rPr>
          <w:spacing w:val="-16"/>
        </w:rPr>
        <w:t>等。</w:t>
      </w:r>
    </w:p>
    <w:p>
      <w:pPr>
        <w:pStyle w:val="3"/>
        <w:spacing w:line="397" w:lineRule="exact"/>
        <w:ind w:left="747"/>
      </w:pPr>
      <w:r>
        <w:t>十三、商品和服务支出：单位购买商品和服务的支出。</w:t>
      </w:r>
    </w:p>
    <w:p>
      <w:pPr>
        <w:pStyle w:val="3"/>
        <w:spacing w:before="151" w:line="326" w:lineRule="auto"/>
        <w:ind w:left="108" w:right="393" w:firstLine="638"/>
      </w:pPr>
      <w:r>
        <w:rPr>
          <w:spacing w:val="-12"/>
        </w:rPr>
        <w:t>十四、对个人和家庭的补助支出：单位用于对个人和家庭的补助支出。</w:t>
      </w:r>
    </w:p>
    <w:p>
      <w:pPr>
        <w:pStyle w:val="3"/>
        <w:spacing w:before="3" w:line="328" w:lineRule="auto"/>
        <w:ind w:left="108" w:right="391" w:firstLine="638"/>
        <w:jc w:val="both"/>
      </w:pPr>
      <w:r>
        <w:rPr>
          <w:spacing w:val="-11"/>
        </w:rPr>
        <w:t>十五、年末结转：本年度或以前年度预算安排，已执行但尚</w:t>
      </w:r>
      <w:r>
        <w:rPr>
          <w:spacing w:val="-16"/>
        </w:rPr>
        <w:t>未完成或因客观条件发生变化无法按原计划实施，需延迟到以后年度按有关规定继续使用的资金。</w:t>
      </w:r>
    </w:p>
    <w:p>
      <w:pPr>
        <w:spacing w:after="0" w:line="328" w:lineRule="auto"/>
        <w:jc w:val="both"/>
        <w:sectPr>
          <w:pgSz w:w="11910" w:h="16840"/>
          <w:pgMar w:top="1580" w:right="1080" w:bottom="1180" w:left="1480" w:header="0" w:footer="993" w:gutter="0"/>
          <w:pgBorders>
            <w:top w:val="none" w:sz="0" w:space="0"/>
            <w:left w:val="none" w:sz="0" w:space="0"/>
            <w:bottom w:val="none" w:sz="0" w:space="0"/>
            <w:right w:val="none" w:sz="0" w:space="0"/>
          </w:pgBorders>
          <w:cols w:space="720" w:num="1"/>
        </w:sectPr>
      </w:pPr>
    </w:p>
    <w:p>
      <w:pPr>
        <w:pStyle w:val="3"/>
        <w:rPr>
          <w:sz w:val="20"/>
        </w:rPr>
      </w:pPr>
    </w:p>
    <w:p>
      <w:pPr>
        <w:pStyle w:val="3"/>
        <w:spacing w:before="202" w:line="328" w:lineRule="auto"/>
        <w:ind w:left="108" w:right="393" w:firstLine="638"/>
        <w:jc w:val="both"/>
      </w:pPr>
      <w:r>
        <w:rPr>
          <w:spacing w:val="-11"/>
          <w:w w:val="95"/>
        </w:rPr>
        <w:t xml:space="preserve">十六、年末结余：本年度或以前年度预算安排，已执行完毕 </w:t>
      </w:r>
      <w:r>
        <w:rPr>
          <w:spacing w:val="-16"/>
          <w:w w:val="95"/>
        </w:rPr>
        <w:t xml:space="preserve">或因客观条件发生变化无法按原预算安排实施，不需要再使用或 </w:t>
      </w:r>
      <w:r>
        <w:rPr>
          <w:spacing w:val="-16"/>
        </w:rPr>
        <w:t>无法按原预算安排继续使用的资金</w:t>
      </w:r>
    </w:p>
    <w:sectPr>
      <w:pgSz w:w="11910" w:h="16840"/>
      <w:pgMar w:top="1580" w:right="1080" w:bottom="1180" w:left="1480" w:header="0" w:footer="993" w:gutter="0"/>
      <w:pgBorders>
        <w:top w:val="none" w:sz="0" w:space="0"/>
        <w:left w:val="none" w:sz="0" w:space="0"/>
        <w:bottom w:val="none" w:sz="0" w:space="0"/>
        <w:right w:val="none" w:sz="0" w:space="0"/>
      </w:pgBorders>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- 17 -</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WDnscBAACZ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xjiHqQ1+WKNeD8OaYsInSW64wwc6FcWKF3bxdeSUe30vWwx+1/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1fWDnscBAACZAwAADgAAAAAAAAABACAAAAAeAQAAZHJzL2Uyb0RvYy54&#10;bWxQSwUGAAAAAAYABgBZAQAAVw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- 17 -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ZM0qcgBAACZAwAADgAAAGRycy9lMm9Eb2MueG1srVPNjtMwEL4j8Q6W&#10;79TZHlA3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CWTNKnIAQAAmQMAAA4AAAAAAAAAAQAgAAAAHgEAAGRycy9lMm9Eb2Mu&#10;eG1sUEsFBgAAAAAGAAYAWQEAAFgFA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- 16 -</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- 16 -</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5236845</wp:posOffset>
              </wp:positionH>
              <wp:positionV relativeFrom="page">
                <wp:posOffset>6963410</wp:posOffset>
              </wp:positionV>
              <wp:extent cx="215900" cy="1524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215900" cy="152400"/>
                      </a:xfrm>
                      <a:prstGeom prst="rect">
                        <a:avLst/>
                      </a:prstGeom>
                      <a:noFill/>
                      <a:ln>
                        <a:noFill/>
                      </a:ln>
                    </wps:spPr>
                    <wps:txbx>
                      <w:txbxContent>
                        <w:p>
                          <w:pPr>
                            <w:spacing w:before="12"/>
                            <w:ind w:left="20" w:right="0" w:firstLine="0"/>
                            <w:jc w:val="left"/>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t>6</w:t>
                          </w:r>
                          <w:r>
                            <w:fldChar w:fldCharType="end"/>
                          </w:r>
                          <w:r>
                            <w:rPr>
                              <w:rFonts w:ascii="Times New Roman"/>
                              <w:sz w:val="18"/>
                            </w:rPr>
                            <w:t xml:space="preserve"> -</w:t>
                          </w:r>
                        </w:p>
                      </w:txbxContent>
                    </wps:txbx>
                    <wps:bodyPr lIns="0" tIns="0" rIns="0" bIns="0" upright="1"/>
                  </wps:wsp>
                </a:graphicData>
              </a:graphic>
            </wp:anchor>
          </w:drawing>
        </mc:Choice>
        <mc:Fallback>
          <w:pict>
            <v:shape id="_x0000_s1026" o:spid="_x0000_s1026" o:spt="202" type="#_x0000_t202" style="position:absolute;left:0pt;margin-left:412.35pt;margin-top:548.3pt;height:12pt;width:17pt;mso-position-horizontal-relative:page;mso-position-vertical-relative:page;z-index:-251654144;mso-width-relative:page;mso-height-relative:page;" filled="f" stroked="f" coordsize="21600,21600" o:gfxdata="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qUa6L2gAAAA0BAAAPAAAAAAAAAAEAIAAAACIAAABkcnMvZG93bnJldi54bWxQSwEC&#10;FAAUAAAACACHTuJAU0jwFbkBAABxAwAADgAAAAAAAAABACAAAAApAQAAZHJzL2Uyb0RvYy54bWxQ&#10;SwUGAAAAAAYABgBZAQAAVAUAAAAA&#10;">
              <v:fill on="f" focussize="0,0"/>
              <v:stroke on="f"/>
              <v:imagedata o:title=""/>
              <o:lock v:ext="edit" aspectratio="f"/>
              <v:textbox inset="0mm,0mm,0mm,0mm">
                <w:txbxContent>
                  <w:p>
                    <w:pPr>
                      <w:spacing w:before="12"/>
                      <w:ind w:left="20" w:right="0" w:firstLine="0"/>
                      <w:jc w:val="left"/>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t>6</w:t>
                    </w:r>
                    <w:r>
                      <w:fldChar w:fldCharType="end"/>
                    </w:r>
                    <w:r>
                      <w:rPr>
                        <w:rFonts w:ascii="Times New Roman"/>
                        <w:sz w:val="1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3360" behindDoc="1" locked="0" layoutInCell="1" allowOverlap="1">
              <wp:simplePos x="0" y="0"/>
              <wp:positionH relativeFrom="page">
                <wp:posOffset>5209540</wp:posOffset>
              </wp:positionH>
              <wp:positionV relativeFrom="page">
                <wp:posOffset>6963410</wp:posOffset>
              </wp:positionV>
              <wp:extent cx="272415" cy="1524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272415" cy="152400"/>
                      </a:xfrm>
                      <a:prstGeom prst="rect">
                        <a:avLst/>
                      </a:prstGeom>
                      <a:noFill/>
                      <a:ln>
                        <a:noFill/>
                      </a:ln>
                    </wps:spPr>
                    <wps:txbx>
                      <w:txbxContent>
                        <w:p>
                          <w:pPr>
                            <w:spacing w:before="12"/>
                            <w:ind w:left="20" w:right="0" w:firstLine="0"/>
                            <w:jc w:val="left"/>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t>10</w:t>
                          </w:r>
                          <w:r>
                            <w:fldChar w:fldCharType="end"/>
                          </w:r>
                          <w:r>
                            <w:rPr>
                              <w:rFonts w:ascii="Times New Roman"/>
                              <w:sz w:val="18"/>
                            </w:rPr>
                            <w:t xml:space="preserve"> -</w:t>
                          </w:r>
                        </w:p>
                      </w:txbxContent>
                    </wps:txbx>
                    <wps:bodyPr lIns="0" tIns="0" rIns="0" bIns="0" upright="1"/>
                  </wps:wsp>
                </a:graphicData>
              </a:graphic>
            </wp:anchor>
          </w:drawing>
        </mc:Choice>
        <mc:Fallback>
          <w:pict>
            <v:shape id="_x0000_s1026" o:spid="_x0000_s1026" o:spt="202" type="#_x0000_t202" style="position:absolute;left:0pt;margin-left:410.2pt;margin-top:548.3pt;height:12pt;width:21.45pt;mso-position-horizontal-relative:page;mso-position-vertical-relative:page;z-index:-251653120;mso-width-relative:page;mso-height-relative:page;" filled="f" stroked="f" coordsize="21600,21600" o:gfxdata="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qyHqXaAAAADQEAAA8AAAAAAAAAAQAgAAAAIgAAAGRycy9kb3ducmV2LnhtbFBL&#10;AQIUABQAAAAIAIdO4kDh8898uwEAAHEDAAAOAAAAAAAAAAEAIAAAACkBAABkcnMvZTJvRG9jLnht&#10;bFBLBQYAAAAABgAGAFkBAABWBQAAAAA=&#10;">
              <v:fill on="f" focussize="0,0"/>
              <v:stroke on="f"/>
              <v:imagedata o:title=""/>
              <o:lock v:ext="edit" aspectratio="f"/>
              <v:textbox inset="0mm,0mm,0mm,0mm">
                <w:txbxContent>
                  <w:p>
                    <w:pPr>
                      <w:spacing w:before="12"/>
                      <w:ind w:left="20" w:right="0" w:firstLine="0"/>
                      <w:jc w:val="left"/>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t>10</w:t>
                    </w:r>
                    <w:r>
                      <w:fldChar w:fldCharType="end"/>
                    </w:r>
                    <w:r>
                      <w:rPr>
                        <w:rFonts w:ascii="Times New Roman"/>
                        <w:sz w:val="1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4384" behindDoc="1" locked="0" layoutInCell="1" allowOverlap="1">
              <wp:simplePos x="0" y="0"/>
              <wp:positionH relativeFrom="page">
                <wp:posOffset>3679825</wp:posOffset>
              </wp:positionH>
              <wp:positionV relativeFrom="page">
                <wp:posOffset>9921240</wp:posOffset>
              </wp:positionV>
              <wp:extent cx="272415" cy="1524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272415" cy="152400"/>
                      </a:xfrm>
                      <a:prstGeom prst="rect">
                        <a:avLst/>
                      </a:prstGeom>
                      <a:noFill/>
                      <a:ln>
                        <a:noFill/>
                      </a:ln>
                    </wps:spPr>
                    <wps:txbx>
                      <w:txbxContent>
                        <w:p>
                          <w:pPr>
                            <w:spacing w:before="12"/>
                            <w:ind w:left="20" w:right="0" w:firstLine="0"/>
                            <w:jc w:val="left"/>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t>17</w:t>
                          </w:r>
                          <w:r>
                            <w:fldChar w:fldCharType="end"/>
                          </w:r>
                          <w:r>
                            <w:rPr>
                              <w:rFonts w:ascii="Times New Roman"/>
                              <w:sz w:val="18"/>
                            </w:rPr>
                            <w:t xml:space="preserve"> -</w:t>
                          </w:r>
                        </w:p>
                      </w:txbxContent>
                    </wps:txbx>
                    <wps:bodyPr lIns="0" tIns="0" rIns="0" bIns="0" upright="1"/>
                  </wps:wsp>
                </a:graphicData>
              </a:graphic>
            </wp:anchor>
          </w:drawing>
        </mc:Choice>
        <mc:Fallback>
          <w:pict>
            <v:shape id="_x0000_s1026" o:spid="_x0000_s1026" o:spt="202" type="#_x0000_t202" style="position:absolute;left:0pt;margin-left:289.75pt;margin-top:781.2pt;height:12pt;width:21.45pt;mso-position-horizontal-relative:page;mso-position-vertical-relative:page;z-index:-251652096;mso-width-relative:page;mso-height-relative:page;" filled="f" stroked="f" coordsize="21600,21600" o:gfxdata="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h8kBkdoAAAANAQAADwAAAAAAAAABACAAAAAiAAAAZHJzL2Rvd25yZXYueG1sUEsB&#10;AhQAFAAAAAgAh07iQBQC5t+6AQAAcQMAAA4AAAAAAAAAAQAgAAAAKQEAAGRycy9lMm9Eb2MueG1s&#10;UEsFBgAAAAAGAAYAWQEAAFUFAAAAAA==&#10;">
              <v:fill on="f" focussize="0,0"/>
              <v:stroke on="f"/>
              <v:imagedata o:title=""/>
              <o:lock v:ext="edit" aspectratio="f"/>
              <v:textbox inset="0mm,0mm,0mm,0mm">
                <w:txbxContent>
                  <w:p>
                    <w:pPr>
                      <w:spacing w:before="12"/>
                      <w:ind w:left="20" w:right="0" w:firstLine="0"/>
                      <w:jc w:val="left"/>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t>17</w:t>
                    </w:r>
                    <w:r>
                      <w:fldChar w:fldCharType="end"/>
                    </w:r>
                    <w:r>
                      <w:rPr>
                        <w:rFonts w:ascii="Times New Roman"/>
                        <w:sz w:val="18"/>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5408" behindDoc="1" locked="0" layoutInCell="1" allowOverlap="1">
              <wp:simplePos x="0" y="0"/>
              <wp:positionH relativeFrom="page">
                <wp:posOffset>3679825</wp:posOffset>
              </wp:positionH>
              <wp:positionV relativeFrom="page">
                <wp:posOffset>9921240</wp:posOffset>
              </wp:positionV>
              <wp:extent cx="272415" cy="1524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272415" cy="152400"/>
                      </a:xfrm>
                      <a:prstGeom prst="rect">
                        <a:avLst/>
                      </a:prstGeom>
                      <a:noFill/>
                      <a:ln>
                        <a:noFill/>
                      </a:ln>
                    </wps:spPr>
                    <wps:txbx>
                      <w:txbxContent>
                        <w:p>
                          <w:pPr>
                            <w:spacing w:before="12"/>
                            <w:ind w:left="20" w:right="0" w:firstLine="0"/>
                            <w:jc w:val="left"/>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t>20</w:t>
                          </w:r>
                          <w:r>
                            <w:fldChar w:fldCharType="end"/>
                          </w:r>
                          <w:r>
                            <w:rPr>
                              <w:rFonts w:ascii="Times New Roman"/>
                              <w:sz w:val="18"/>
                            </w:rPr>
                            <w:t xml:space="preserve"> -</w:t>
                          </w:r>
                        </w:p>
                      </w:txbxContent>
                    </wps:txbx>
                    <wps:bodyPr lIns="0" tIns="0" rIns="0" bIns="0" upright="1"/>
                  </wps:wsp>
                </a:graphicData>
              </a:graphic>
            </wp:anchor>
          </w:drawing>
        </mc:Choice>
        <mc:Fallback>
          <w:pict>
            <v:shape id="_x0000_s1026" o:spid="_x0000_s1026" o:spt="202" type="#_x0000_t202" style="position:absolute;left:0pt;margin-left:289.75pt;margin-top:781.2pt;height:12pt;width:21.45pt;mso-position-horizontal-relative:page;mso-position-vertical-relative:page;z-index:-251651072;mso-width-relative:page;mso-height-relative:page;" filled="f" stroked="f" coordsize="21600,21600" o:gfxdata="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IfJAZHaAAAADQEAAA8AAAAAAAAAAQAgAAAAIgAAAGRycy9kb3ducmV2LnhtbFBL&#10;AQIUABQAAAAIAIdO4kBKFu3huwEAAHEDAAAOAAAAAAAAAAEAIAAAACkBAABkcnMvZTJvRG9jLnht&#10;bFBLBQYAAAAABgAGAFkBAABWBQAAAAA=&#10;">
              <v:fill on="f" focussize="0,0"/>
              <v:stroke on="f"/>
              <v:imagedata o:title=""/>
              <o:lock v:ext="edit" aspectratio="f"/>
              <v:textbox inset="0mm,0mm,0mm,0mm">
                <w:txbxContent>
                  <w:p>
                    <w:pPr>
                      <w:spacing w:before="12"/>
                      <w:ind w:left="20" w:right="0" w:firstLine="0"/>
                      <w:jc w:val="left"/>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t>20</w:t>
                    </w:r>
                    <w:r>
                      <w:fldChar w:fldCharType="end"/>
                    </w:r>
                    <w:r>
                      <w:rPr>
                        <w:rFonts w:ascii="Times New Roman"/>
                        <w:sz w:val="1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E42200"/>
    <w:multiLevelType w:val="singleLevel"/>
    <w:tmpl w:val="88E42200"/>
    <w:lvl w:ilvl="0" w:tentative="0">
      <w:start w:val="1"/>
      <w:numFmt w:val="chineseCounting"/>
      <w:suff w:val="nothing"/>
      <w:lvlText w:val="第%1部分　"/>
      <w:lvlJc w:val="left"/>
      <w:rPr>
        <w:rFonts w:hint="eastAsia"/>
      </w:rPr>
    </w:lvl>
  </w:abstractNum>
  <w:abstractNum w:abstractNumId="1">
    <w:nsid w:val="0053208E"/>
    <w:multiLevelType w:val="multilevel"/>
    <w:tmpl w:val="0053208E"/>
    <w:lvl w:ilvl="0" w:tentative="0">
      <w:start w:val="1"/>
      <w:numFmt w:val="decimal"/>
      <w:lvlText w:val="%1."/>
      <w:lvlJc w:val="left"/>
      <w:pPr>
        <w:ind w:left="108" w:hanging="322"/>
        <w:jc w:val="left"/>
      </w:pPr>
      <w:rPr>
        <w:rFonts w:hint="default" w:ascii="仿宋" w:hAnsi="仿宋" w:eastAsia="仿宋" w:cs="仿宋"/>
        <w:spacing w:val="1"/>
        <w:w w:val="99"/>
        <w:sz w:val="30"/>
        <w:szCs w:val="30"/>
        <w:lang w:val="zh-CN" w:eastAsia="zh-CN" w:bidi="zh-CN"/>
      </w:rPr>
    </w:lvl>
    <w:lvl w:ilvl="1" w:tentative="0">
      <w:start w:val="0"/>
      <w:numFmt w:val="bullet"/>
      <w:lvlText w:val="•"/>
      <w:lvlJc w:val="left"/>
      <w:pPr>
        <w:ind w:left="1024" w:hanging="322"/>
      </w:pPr>
      <w:rPr>
        <w:rFonts w:hint="default"/>
        <w:lang w:val="zh-CN" w:eastAsia="zh-CN" w:bidi="zh-CN"/>
      </w:rPr>
    </w:lvl>
    <w:lvl w:ilvl="2" w:tentative="0">
      <w:start w:val="0"/>
      <w:numFmt w:val="bullet"/>
      <w:lvlText w:val="•"/>
      <w:lvlJc w:val="left"/>
      <w:pPr>
        <w:ind w:left="1949" w:hanging="322"/>
      </w:pPr>
      <w:rPr>
        <w:rFonts w:hint="default"/>
        <w:lang w:val="zh-CN" w:eastAsia="zh-CN" w:bidi="zh-CN"/>
      </w:rPr>
    </w:lvl>
    <w:lvl w:ilvl="3" w:tentative="0">
      <w:start w:val="0"/>
      <w:numFmt w:val="bullet"/>
      <w:lvlText w:val="•"/>
      <w:lvlJc w:val="left"/>
      <w:pPr>
        <w:ind w:left="2873" w:hanging="322"/>
      </w:pPr>
      <w:rPr>
        <w:rFonts w:hint="default"/>
        <w:lang w:val="zh-CN" w:eastAsia="zh-CN" w:bidi="zh-CN"/>
      </w:rPr>
    </w:lvl>
    <w:lvl w:ilvl="4" w:tentative="0">
      <w:start w:val="0"/>
      <w:numFmt w:val="bullet"/>
      <w:lvlText w:val="•"/>
      <w:lvlJc w:val="left"/>
      <w:pPr>
        <w:ind w:left="3798" w:hanging="322"/>
      </w:pPr>
      <w:rPr>
        <w:rFonts w:hint="default"/>
        <w:lang w:val="zh-CN" w:eastAsia="zh-CN" w:bidi="zh-CN"/>
      </w:rPr>
    </w:lvl>
    <w:lvl w:ilvl="5" w:tentative="0">
      <w:start w:val="0"/>
      <w:numFmt w:val="bullet"/>
      <w:lvlText w:val="•"/>
      <w:lvlJc w:val="left"/>
      <w:pPr>
        <w:ind w:left="4723" w:hanging="322"/>
      </w:pPr>
      <w:rPr>
        <w:rFonts w:hint="default"/>
        <w:lang w:val="zh-CN" w:eastAsia="zh-CN" w:bidi="zh-CN"/>
      </w:rPr>
    </w:lvl>
    <w:lvl w:ilvl="6" w:tentative="0">
      <w:start w:val="0"/>
      <w:numFmt w:val="bullet"/>
      <w:lvlText w:val="•"/>
      <w:lvlJc w:val="left"/>
      <w:pPr>
        <w:ind w:left="5647" w:hanging="322"/>
      </w:pPr>
      <w:rPr>
        <w:rFonts w:hint="default"/>
        <w:lang w:val="zh-CN" w:eastAsia="zh-CN" w:bidi="zh-CN"/>
      </w:rPr>
    </w:lvl>
    <w:lvl w:ilvl="7" w:tentative="0">
      <w:start w:val="0"/>
      <w:numFmt w:val="bullet"/>
      <w:lvlText w:val="•"/>
      <w:lvlJc w:val="left"/>
      <w:pPr>
        <w:ind w:left="6572" w:hanging="322"/>
      </w:pPr>
      <w:rPr>
        <w:rFonts w:hint="default"/>
        <w:lang w:val="zh-CN" w:eastAsia="zh-CN" w:bidi="zh-CN"/>
      </w:rPr>
    </w:lvl>
    <w:lvl w:ilvl="8" w:tentative="0">
      <w:start w:val="0"/>
      <w:numFmt w:val="bullet"/>
      <w:lvlText w:val="•"/>
      <w:lvlJc w:val="left"/>
      <w:pPr>
        <w:ind w:left="7496" w:hanging="322"/>
      </w:pPr>
      <w:rPr>
        <w:rFonts w:hint="default"/>
        <w:lang w:val="zh-CN" w:eastAsia="zh-CN" w:bidi="zh-CN"/>
      </w:rPr>
    </w:lvl>
  </w:abstractNum>
  <w:abstractNum w:abstractNumId="2">
    <w:nsid w:val="5971BE17"/>
    <w:multiLevelType w:val="singleLevel"/>
    <w:tmpl w:val="5971BE17"/>
    <w:lvl w:ilvl="0" w:tentative="0">
      <w:start w:val="1"/>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30733"/>
    <w:rsid w:val="278946DD"/>
    <w:rsid w:val="28110A6D"/>
    <w:rsid w:val="2BCD469F"/>
    <w:rsid w:val="32713F3F"/>
    <w:rsid w:val="466A0E35"/>
    <w:rsid w:val="4F6278C6"/>
    <w:rsid w:val="5FDF1471"/>
    <w:rsid w:val="671F239A"/>
    <w:rsid w:val="6E3574DD"/>
    <w:rsid w:val="74694E53"/>
    <w:rsid w:val="7BD56E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32"/>
      <w:ind w:left="58"/>
      <w:outlineLvl w:val="1"/>
    </w:pPr>
    <w:rPr>
      <w:rFonts w:ascii="宋体" w:hAnsi="宋体" w:eastAsia="宋体" w:cs="宋体"/>
      <w:sz w:val="48"/>
      <w:szCs w:val="48"/>
      <w:lang w:val="zh-CN" w:eastAsia="zh-CN" w:bidi="zh-CN"/>
    </w:rPr>
  </w:style>
  <w:style w:type="character" w:default="1" w:styleId="7">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仿宋" w:hAnsi="仿宋" w:eastAsia="仿宋" w:cs="仿宋"/>
      <w:sz w:val="32"/>
      <w:szCs w:val="32"/>
      <w:lang w:val="zh-CN" w:eastAsia="zh-CN" w:bidi="zh-CN"/>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ind w:left="108" w:right="234" w:firstLine="638"/>
    </w:pPr>
    <w:rPr>
      <w:rFonts w:ascii="仿宋" w:hAnsi="仿宋" w:eastAsia="仿宋" w:cs="仿宋"/>
      <w:lang w:val="zh-CN" w:eastAsia="zh-CN" w:bidi="zh-CN"/>
    </w:rPr>
  </w:style>
  <w:style w:type="paragraph" w:customStyle="1" w:styleId="10">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2021-11-05T03:03:00Z</dcterms:created>
  <dc:creator>管理者</dc:creator>
  <cp:lastModifiedBy>淡诉一世沉浮</cp:lastModifiedBy>
  <cp:lastPrinted>2021-11-08T02:38:00Z</cp:lastPrinted>
  <dcterms:modified xsi:type="dcterms:W3CDTF">2021-11-09T03:00:39Z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2021-06-08T00:00:00Z</vt:filetime>
  </property>
  <property fmtid="{D5CDD505-2E9C-101B-9397-08002B2CF9AE}" pid="3" name="Creator">
    <vt:lpwstr>WPS 文字</vt:lpwstr>
  </property>
  <property fmtid="{D5CDD505-2E9C-101B-9397-08002B2CF9AE}" pid="4" name="LastSaved">
    <vt:filetime>2021-11-05T00:00:00Z</vt:filetime>
  </property>
  <property fmtid="{D5CDD505-2E9C-101B-9397-08002B2CF9AE}" pid="5" name="KSOProductBuildVer">
    <vt:lpwstr>2052-11.1.0.11045</vt:lpwstr>
  </property>
  <property fmtid="{D5CDD505-2E9C-101B-9397-08002B2CF9AE}" pid="6" name="ICV">
    <vt:lpwstr>9593A5DDF1FD4D0AA4400F3479F26DEC</vt:lpwstr>
  </property>
</Properties>
</file>