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pPr>
      <w:bookmarkStart w:id="0" w:name="_GoBack"/>
      <w:bookmarkEnd w:id="0"/>
      <w:r>
        <w:rPr>
          <w:rFonts w:ascii="Times New Roman" w:hAnsi="Times New Roman" w:eastAsia="宋体" w:cs="Times New Roman"/>
          <w:kern w:val="2"/>
          <w:sz w:val="21"/>
          <w:szCs w:val="24"/>
          <w:lang w:val="en-US" w:eastAsia="zh-CN" w:bidi="ar-SA"/>
        </w:rPr>
        <w:pict>
          <v:shape id="图片 18" o:spid="_x0000_s1026" type="#_x0000_t75" style="position:absolute;left:0;margin-left:-2.35pt;margin-top:15.35pt;height:88.5pt;width:432pt;rotation:0f;z-index:251659264;" o:ole="f" fillcolor="#FFFFFF" filled="f" o:preferrelative="t" stroked="f" coordorigin="0,0" coordsize="21600,21600">
            <v:fill on="f" color2="#FFFFFF" focus="0%"/>
            <v:imagedata gain="86232f" blacklevel="1966f" gamma="0" o:title="" r:id="rId7"/>
            <o:lock v:ext="edit" position="f" selection="f" grouping="f" rotation="f" cropping="f" text="f" aspectratio="t"/>
          </v:shape>
        </w:pict>
      </w:r>
    </w:p>
    <w:p>
      <w:pPr>
        <w:spacing w:line="600" w:lineRule="exact"/>
      </w:pPr>
    </w:p>
    <w:p>
      <w:pPr>
        <w:spacing w:line="600" w:lineRule="exact"/>
      </w:pPr>
    </w:p>
    <w:p>
      <w:pPr>
        <w:spacing w:line="600" w:lineRule="exact"/>
      </w:pPr>
      <w:r>
        <w:rPr>
          <w:rFonts w:ascii="Times New Roman" w:hAnsi="Times New Roman" w:eastAsia="宋体" w:cs="Times New Roman"/>
          <w:kern w:val="2"/>
          <w:sz w:val="21"/>
          <w:szCs w:val="24"/>
          <w:lang w:val="en-US" w:eastAsia="zh-CN" w:bidi="ar-SA"/>
        </w:rPr>
        <w:pict>
          <v:shape id="_x0000_s1027" o:spid="_x0000_s1029" type="#_x0000_t202" style="position:absolute;left:0;margin-left:-28.15pt;margin-top:178.35pt;height:39pt;width:498.1pt;mso-position-vertical-relative:pag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w:txbxContent>
                <w:p>
                  <w:pPr>
                    <w:ind w:left="420" w:leftChars="200"/>
                    <w:rPr>
                      <w:rFonts w:hint="eastAsia" w:ascii="楷体" w:hAnsi="楷体" w:eastAsia="仿宋"/>
                      <w:sz w:val="44"/>
                      <w:szCs w:val="44"/>
                      <w:lang w:val="en-US" w:eastAsia="zh-CN"/>
                    </w:rPr>
                  </w:pPr>
                  <w:r>
                    <w:rPr>
                      <w:rFonts w:hint="eastAsia" w:hAnsi="仿宋" w:eastAsia="仿宋"/>
                      <w:sz w:val="30"/>
                      <w:szCs w:val="30"/>
                    </w:rPr>
                    <w:t>豫公明发〔</w:t>
                  </w:r>
                  <w:r>
                    <w:rPr>
                      <w:rFonts w:hAnsi="仿宋" w:eastAsia="仿宋"/>
                      <w:sz w:val="30"/>
                      <w:szCs w:val="30"/>
                    </w:rPr>
                    <w:t>2019</w:t>
                  </w:r>
                  <w:r>
                    <w:rPr>
                      <w:rFonts w:hint="eastAsia" w:hAnsi="仿宋" w:eastAsia="仿宋"/>
                      <w:sz w:val="30"/>
                      <w:szCs w:val="30"/>
                    </w:rPr>
                    <w:t>〕</w:t>
                  </w:r>
                  <w:r>
                    <w:rPr>
                      <w:rFonts w:hint="eastAsia" w:hAnsi="仿宋" w:eastAsia="仿宋"/>
                      <w:sz w:val="30"/>
                      <w:szCs w:val="30"/>
                      <w:lang w:val="en-US" w:eastAsia="zh-CN"/>
                    </w:rPr>
                    <w:t>315</w:t>
                  </w:r>
                  <w:r>
                    <w:rPr>
                      <w:rFonts w:hint="eastAsia" w:hAnsi="仿宋" w:eastAsia="仿宋"/>
                      <w:sz w:val="30"/>
                      <w:szCs w:val="30"/>
                    </w:rPr>
                    <w:t>号</w:t>
                  </w:r>
                  <w:r>
                    <w:rPr>
                      <w:rFonts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签发人：</w:t>
                  </w:r>
                  <w:r>
                    <w:rPr>
                      <w:rFonts w:hint="eastAsia" w:ascii="仿宋" w:hAnsi="仿宋" w:eastAsia="仿宋"/>
                      <w:sz w:val="30"/>
                      <w:szCs w:val="30"/>
                      <w:lang w:eastAsia="zh-CN"/>
                    </w:rPr>
                    <w:t>范玉龙</w:t>
                  </w:r>
                </w:p>
                <w:p>
                  <w:pPr>
                    <w:rPr>
                      <w:rFonts w:ascii="仿宋" w:hAnsi="仿宋" w:eastAsia="仿宋"/>
                      <w:sz w:val="30"/>
                      <w:szCs w:val="30"/>
                    </w:rPr>
                  </w:pPr>
                  <w:r>
                    <w:rPr>
                      <w:rFonts w:ascii="楷体" w:hAnsi="楷体" w:eastAsia="楷体"/>
                      <w:sz w:val="44"/>
                      <w:szCs w:val="44"/>
                    </w:rPr>
                    <w:t xml:space="preserve">  </w:t>
                  </w:r>
                  <w:r>
                    <w:rPr>
                      <w:rFonts w:ascii="仿宋" w:hAnsi="仿宋" w:eastAsia="仿宋"/>
                      <w:sz w:val="30"/>
                      <w:szCs w:val="30"/>
                    </w:rPr>
                    <w:t xml:space="preserve">  </w:t>
                  </w:r>
                </w:p>
              </w:txbxContent>
            </v:textbox>
          </v:shape>
        </w:pict>
      </w:r>
    </w:p>
    <w:p>
      <w:pPr>
        <w:spacing w:line="600" w:lineRule="exact"/>
      </w:pPr>
      <w:r>
        <w:rPr>
          <w:rFonts w:ascii="Times New Roman" w:hAnsi="Times New Roman" w:eastAsia="宋体" w:cs="Times New Roman"/>
          <w:kern w:val="2"/>
          <w:sz w:val="21"/>
          <w:szCs w:val="24"/>
          <w:lang w:val="en-US" w:eastAsia="zh-CN" w:bidi="ar-SA"/>
        </w:rPr>
        <w:pict>
          <v:shape id="_x0000_s1028" o:spid="_x0000_s1030" type="#_x0000_t202" style="position:absolute;left:0;margin-left:192.6pt;margin-top:26.7pt;height:25.75pt;width:105pt;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line="360" w:lineRule="exact"/>
                    <w:rPr>
                      <w:rFonts w:hint="default" w:eastAsia="仿宋_GB2312"/>
                      <w:sz w:val="28"/>
                      <w:szCs w:val="28"/>
                      <w:lang w:val="en-US" w:eastAsia="zh-CN"/>
                    </w:rPr>
                  </w:pPr>
                  <w:r>
                    <w:rPr>
                      <w:rFonts w:eastAsia="仿宋_GB2312"/>
                      <w:sz w:val="30"/>
                      <w:szCs w:val="30"/>
                    </w:rPr>
                    <w:t xml:space="preserve"> 2019-</w:t>
                  </w:r>
                  <w:r>
                    <w:rPr>
                      <w:rFonts w:hint="eastAsia" w:eastAsia="仿宋_GB2312"/>
                      <w:sz w:val="30"/>
                      <w:szCs w:val="30"/>
                      <w:lang w:val="en-US" w:eastAsia="zh-CN"/>
                    </w:rPr>
                    <w:t>11</w:t>
                  </w:r>
                  <w:r>
                    <w:rPr>
                      <w:rFonts w:eastAsia="仿宋_GB2312"/>
                      <w:sz w:val="30"/>
                      <w:szCs w:val="30"/>
                    </w:rPr>
                    <w:t>-</w:t>
                  </w:r>
                  <w:r>
                    <w:rPr>
                      <w:rFonts w:hint="eastAsia" w:eastAsia="仿宋_GB2312"/>
                      <w:sz w:val="30"/>
                      <w:szCs w:val="30"/>
                      <w:lang w:val="en-US" w:eastAsia="zh-CN"/>
                    </w:rPr>
                    <w:t xml:space="preserve">26              </w:t>
                  </w:r>
                </w:p>
              </w:txbxContent>
            </v:textbox>
          </v:shape>
        </w:pict>
      </w:r>
      <w:r>
        <w:rPr>
          <w:rFonts w:ascii="Times New Roman" w:hAnsi="Times New Roman" w:eastAsia="宋体" w:cs="Times New Roman"/>
          <w:kern w:val="2"/>
          <w:sz w:val="21"/>
          <w:szCs w:val="24"/>
          <w:lang w:val="en-US" w:eastAsia="zh-CN" w:bidi="ar-SA"/>
        </w:rPr>
        <w:pict>
          <v:line id="_x0000_s1029" o:spid="_x0000_s1027" style="position:absolute;left:0;margin-left:-17.8pt;margin-top:23.35pt;height:0.05pt;width:450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shape id="_x0000_s1030" o:spid="_x0000_s1031" type="#_x0000_t202" style="position:absolute;left:0;margin-left:360pt;margin-top:28.2pt;height:31.2pt;width:63pt;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仿宋" w:hAnsi="仿宋" w:eastAsia="仿宋"/>
                      <w:sz w:val="32"/>
                      <w:szCs w:val="32"/>
                    </w:rPr>
                  </w:pPr>
                </w:p>
              </w:txbxContent>
            </v:textbox>
          </v:shape>
        </w:pict>
      </w:r>
    </w:p>
    <w:p>
      <w:pPr>
        <w:spacing w:line="420" w:lineRule="exact"/>
        <w:rPr>
          <w:rFonts w:hAnsi="仿宋" w:eastAsia="仿宋"/>
          <w:sz w:val="30"/>
          <w:szCs w:val="30"/>
        </w:rPr>
      </w:pPr>
      <w:r>
        <w:rPr>
          <w:rFonts w:ascii="Times New Roman" w:hAnsi="Times New Roman" w:eastAsia="宋体" w:cs="Times New Roman"/>
          <w:kern w:val="2"/>
          <w:sz w:val="21"/>
          <w:szCs w:val="24"/>
          <w:lang w:val="en-US" w:eastAsia="zh-CN" w:bidi="ar-SA"/>
        </w:rPr>
        <w:pict>
          <v:line id="_x0000_s1031" o:spid="_x0000_s1032" style="position:absolute;left:0;margin-left:-17.95pt;margin-top:23.95pt;height:0.05pt;width:450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hAnsi="仿宋" w:eastAsia="仿宋"/>
          <w:sz w:val="30"/>
          <w:szCs w:val="30"/>
        </w:rPr>
        <w:t>等级</w:t>
      </w:r>
      <w:r>
        <w:rPr>
          <w:rFonts w:hAnsi="仿宋" w:eastAsia="仿宋"/>
          <w:sz w:val="30"/>
          <w:szCs w:val="30"/>
        </w:rPr>
        <w:t xml:space="preserve"> </w:t>
      </w:r>
      <w:r>
        <w:rPr>
          <w:rFonts w:hint="eastAsia" w:hAnsi="仿宋" w:eastAsia="仿宋"/>
          <w:sz w:val="30"/>
          <w:szCs w:val="30"/>
        </w:rPr>
        <w:t>：</w:t>
      </w:r>
      <w:r>
        <w:rPr>
          <w:rFonts w:hint="eastAsia" w:hAnsi="仿宋" w:eastAsia="仿宋"/>
          <w:sz w:val="30"/>
          <w:szCs w:val="30"/>
          <w:lang w:eastAsia="zh-CN"/>
        </w:rPr>
        <w:t>平急</w:t>
      </w:r>
      <w:r>
        <w:rPr>
          <w:rFonts w:hint="eastAsia" w:hAnsi="仿宋" w:eastAsia="仿宋"/>
          <w:sz w:val="30"/>
          <w:szCs w:val="30"/>
          <w:lang w:val="en-US" w:eastAsia="zh-CN"/>
        </w:rPr>
        <w:t xml:space="preserve"> </w:t>
      </w:r>
      <w:r>
        <w:rPr>
          <w:rFonts w:hAnsi="仿宋" w:eastAsia="仿宋"/>
          <w:sz w:val="30"/>
          <w:szCs w:val="30"/>
        </w:rPr>
        <w:t xml:space="preserve">   </w:t>
      </w:r>
      <w:r>
        <w:rPr>
          <w:rFonts w:hint="eastAsia" w:hAnsi="仿宋" w:eastAsia="仿宋"/>
          <w:sz w:val="30"/>
          <w:szCs w:val="30"/>
        </w:rPr>
        <w:t>发电时间：</w:t>
      </w:r>
      <w:r>
        <w:rPr>
          <w:rFonts w:hAnsi="仿宋" w:eastAsia="仿宋"/>
          <w:sz w:val="30"/>
          <w:szCs w:val="30"/>
        </w:rPr>
        <w:t xml:space="preserve">              </w:t>
      </w:r>
      <w:r>
        <w:rPr>
          <w:rFonts w:hint="eastAsia" w:hAnsi="仿宋" w:eastAsia="仿宋"/>
          <w:sz w:val="30"/>
          <w:szCs w:val="30"/>
        </w:rPr>
        <w:t>值机员：</w:t>
      </w:r>
    </w:p>
    <w:p>
      <w:pPr>
        <w:widowControl w:val="0"/>
        <w:wordWrap/>
        <w:adjustRightInd/>
        <w:snapToGrid/>
        <w:spacing w:line="500" w:lineRule="exact"/>
        <w:textAlignment w:val="auto"/>
        <w:outlineLvl w:val="9"/>
        <w:rPr>
          <w:rFonts w:hint="eastAsia" w:hAnsi="仿宋" w:eastAsia="微软雅黑"/>
          <w:sz w:val="24"/>
          <w:szCs w:val="24"/>
          <w:lang w:eastAsia="zh-CN"/>
        </w:rPr>
      </w:pPr>
      <w:r>
        <w:rPr>
          <w:rFonts w:ascii="微软雅黑" w:hAnsi="微软雅黑" w:eastAsia="微软雅黑" w:cs="微软雅黑"/>
          <w:b w:val="0"/>
          <w:i w:val="0"/>
          <w:caps w:val="0"/>
          <w:color w:val="000000"/>
          <w:spacing w:val="0"/>
          <w:sz w:val="24"/>
          <w:szCs w:val="24"/>
          <w:shd w:val="clear" w:color="080000" w:fill="F7F7F7"/>
        </w:rPr>
        <w:t>抄送：</w:t>
      </w:r>
    </w:p>
    <w:p>
      <w:pPr>
        <w:spacing w:line="820" w:lineRule="exact"/>
        <w:rPr>
          <w:sz w:val="32"/>
          <w:szCs w:val="32"/>
        </w:rPr>
      </w:pPr>
      <w:r>
        <w:rPr>
          <w:rFonts w:ascii="Times New Roman" w:hAnsi="Times New Roman" w:eastAsia="宋体" w:cs="Times New Roman"/>
          <w:kern w:val="2"/>
          <w:sz w:val="21"/>
          <w:szCs w:val="24"/>
          <w:lang w:val="en-US" w:eastAsia="zh-CN" w:bidi="ar-SA"/>
        </w:rPr>
        <w:pict>
          <v:line id="_x0000_s1032" o:spid="_x0000_s1028" style="position:absolute;left:0;margin-left:-17.95pt;margin-top:18.6pt;height:0.05pt;width:450.15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szCs w:val="24"/>
          <w:lang w:val="en-US" w:eastAsia="zh-CN" w:bidi="ar-SA"/>
        </w:rPr>
        <w:pict>
          <v:group id="组合 1032" o:spid="_x0000_s1025" style="position:absolute;left:0;margin-left:76.8pt;margin-top:776.95pt;height:35.35pt;width:454.45pt;mso-position-horizontal-relative:page;mso-position-vertical-relative:page;mso-wrap-distance-left:9pt;mso-wrap-distance-right:9pt;rotation:0f;z-index:-251658240;" coordorigin="0,0" coordsize="9003,624" wrapcoords="-36 5055 -36 5055 21636 5055 21636 5055 -36 5055">
            <o:lock v:ext="edit" position="f" selection="f" grouping="f" rotation="f" cropping="f" text="f" aspectratio="f"/>
            <v:line id="_x0000_s1034" o:spid="_x0000_s1034" style="position:absolute;left:0;top:155;height:0;width:900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_x0000_s1035" o:spid="_x0000_s1035" type="#_x0000_t202" style="position:absolute;left:180;top:0;height:624;width:84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仿宋" w:hAnsi="仿宋" w:eastAsia="仿宋"/>
                      </w:rPr>
                    </w:pPr>
                    <w:r>
                      <w:rPr>
                        <w:rFonts w:hint="eastAsia" w:ascii="仿宋" w:hAnsi="仿宋" w:eastAsia="仿宋"/>
                        <w:sz w:val="30"/>
                      </w:rPr>
                      <w:t>承办单位：治安管理总队</w:t>
                    </w:r>
                    <w:r>
                      <w:rPr>
                        <w:rFonts w:ascii="仿宋" w:hAnsi="仿宋" w:eastAsia="仿宋"/>
                        <w:sz w:val="32"/>
                      </w:rPr>
                      <w:t xml:space="preserve">    </w:t>
                    </w:r>
                    <w:r>
                      <w:rPr>
                        <w:rFonts w:hint="eastAsia" w:ascii="仿宋" w:hAnsi="仿宋" w:eastAsia="仿宋"/>
                        <w:sz w:val="30"/>
                      </w:rPr>
                      <w:t>电话：</w:t>
                    </w:r>
                    <w:r>
                      <w:rPr>
                        <w:rFonts w:ascii="仿宋" w:hAnsi="仿宋" w:eastAsia="仿宋"/>
                        <w:sz w:val="30"/>
                      </w:rPr>
                      <w:t>841—</w:t>
                    </w:r>
                    <w:r>
                      <w:rPr>
                        <w:rFonts w:hint="eastAsia" w:ascii="仿宋" w:hAnsi="仿宋" w:eastAsia="仿宋"/>
                        <w:sz w:val="32"/>
                        <w:lang w:val="en-US" w:eastAsia="zh-CN"/>
                      </w:rPr>
                      <w:t xml:space="preserve">22322  </w:t>
                    </w:r>
                    <w:r>
                      <w:rPr>
                        <w:rFonts w:hint="eastAsia" w:ascii="仿宋" w:hAnsi="仿宋" w:eastAsia="仿宋"/>
                        <w:sz w:val="32"/>
                      </w:rPr>
                      <w:t>共</w:t>
                    </w:r>
                    <w:r>
                      <w:rPr>
                        <w:rFonts w:hint="eastAsia" w:ascii="仿宋" w:hAnsi="仿宋" w:eastAsia="仿宋"/>
                        <w:sz w:val="32"/>
                        <w:lang w:val="en-US" w:eastAsia="zh-CN"/>
                      </w:rPr>
                      <w:t>5</w:t>
                    </w:r>
                    <w:r>
                      <w:rPr>
                        <w:rFonts w:hint="eastAsia" w:ascii="仿宋" w:hAnsi="仿宋" w:eastAsia="仿宋"/>
                        <w:sz w:val="32"/>
                      </w:rPr>
                      <w:t>页</w:t>
                    </w:r>
                    <w:r>
                      <w:rPr>
                        <w:rFonts w:ascii="仿宋" w:hAnsi="仿宋" w:eastAsia="仿宋"/>
                        <w:sz w:val="32"/>
                      </w:rPr>
                      <w:t xml:space="preserve"> </w:t>
                    </w:r>
                  </w:p>
                  <w:p>
                    <w:pPr>
                      <w:rPr>
                        <w:rFonts w:ascii="仿宋_GB2312" w:hAnsi="仿宋" w:eastAsia="仿宋_GB2312"/>
                        <w:sz w:val="32"/>
                      </w:rPr>
                    </w:pPr>
                  </w:p>
                </w:txbxContent>
              </v:textbox>
            </v:shape>
            <w10:wrap type="through"/>
            <w10:anchorlock/>
          </v:group>
        </w:pict>
      </w:r>
    </w:p>
    <w:p>
      <w:pPr>
        <w:jc w:val="center"/>
        <w:rPr>
          <w:rFonts w:hint="eastAsia" w:ascii="宋体" w:hAnsi="宋体" w:eastAsia="宋体" w:cs="宋体"/>
          <w:sz w:val="44"/>
          <w:szCs w:val="44"/>
          <w:lang w:eastAsia="zh-CN"/>
        </w:rPr>
      </w:pPr>
    </w:p>
    <w:p>
      <w:pPr>
        <w:widowControl w:val="0"/>
        <w:wordWrap/>
        <w:adjustRightInd/>
        <w:snapToGrid/>
        <w:spacing w:line="60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河南省公安厅关于修订</w:t>
      </w:r>
    </w:p>
    <w:p>
      <w:pPr>
        <w:widowControl w:val="0"/>
        <w:wordWrap/>
        <w:adjustRightInd/>
        <w:snapToGrid/>
        <w:spacing w:line="60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《河南省公安机关治安管理处罚裁量标准》有关规定的通知</w:t>
      </w:r>
    </w:p>
    <w:p>
      <w:pPr>
        <w:widowControl w:val="0"/>
        <w:wordWrap/>
        <w:adjustRightInd/>
        <w:snapToGrid/>
        <w:spacing w:line="600" w:lineRule="exact"/>
        <w:ind w:left="0" w:leftChars="0"/>
        <w:jc w:val="center"/>
        <w:textAlignment w:val="auto"/>
        <w:outlineLvl w:val="9"/>
        <w:rPr>
          <w:rFonts w:hint="eastAsia" w:ascii="宋体" w:hAnsi="宋体" w:eastAsia="宋体" w:cs="宋体"/>
          <w:sz w:val="44"/>
          <w:szCs w:val="44"/>
          <w:lang w:eastAsia="zh-CN"/>
        </w:rPr>
      </w:pPr>
    </w:p>
    <w:p>
      <w:pPr>
        <w:widowControl w:val="0"/>
        <w:wordWrap/>
        <w:adjustRightInd/>
        <w:snapToGrid/>
        <w:spacing w:line="600" w:lineRule="exact"/>
        <w:ind w:left="0" w:lef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各省辖市公安局：</w:t>
      </w:r>
    </w:p>
    <w:p>
      <w:pPr>
        <w:widowControl w:val="0"/>
        <w:wordWrap/>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ascii="仿宋_GB2312" w:hAnsi="Calibri" w:eastAsia="仿宋_GB2312" w:cs="仿宋_GB2312"/>
          <w:color w:val="333333"/>
          <w:kern w:val="0"/>
          <w:sz w:val="32"/>
          <w:szCs w:val="32"/>
          <w:shd w:val="clear" w:color="050000" w:fill="FFFFFF"/>
          <w:lang w:val="en-US" w:eastAsia="zh-CN"/>
        </w:rPr>
        <w:t>《</w:t>
      </w:r>
      <w:r>
        <w:rPr>
          <w:rFonts w:hint="eastAsia" w:ascii="仿宋_GB2312" w:hAnsi="Calibri" w:eastAsia="仿宋_GB2312" w:cs="仿宋_GB2312"/>
          <w:color w:val="333333"/>
          <w:kern w:val="0"/>
          <w:sz w:val="32"/>
          <w:szCs w:val="32"/>
          <w:shd w:val="clear" w:color="050000" w:fill="FFFFFF"/>
          <w:lang w:val="en-US" w:eastAsia="zh-CN"/>
        </w:rPr>
        <w:t>河南省公安机关治安管理处罚裁量标准</w:t>
      </w:r>
      <w:r>
        <w:rPr>
          <w:rFonts w:ascii="仿宋_GB2312" w:hAnsi="Calibri" w:eastAsia="仿宋_GB2312" w:cs="仿宋_GB2312"/>
          <w:color w:val="333333"/>
          <w:kern w:val="0"/>
          <w:sz w:val="32"/>
          <w:szCs w:val="32"/>
          <w:shd w:val="clear" w:color="050000" w:fill="FFFFFF"/>
          <w:lang w:val="en-US" w:eastAsia="zh-CN"/>
        </w:rPr>
        <w:t>》（</w:t>
      </w:r>
      <w:r>
        <w:rPr>
          <w:rFonts w:hint="eastAsia" w:ascii="仿宋_GB2312" w:hAnsi="Calibri" w:eastAsia="仿宋_GB2312" w:cs="仿宋_GB2312"/>
          <w:color w:val="333333"/>
          <w:kern w:val="0"/>
          <w:sz w:val="32"/>
          <w:szCs w:val="32"/>
          <w:shd w:val="clear" w:color="050000" w:fill="FFFFFF"/>
          <w:lang w:val="en-US" w:eastAsia="zh-CN"/>
        </w:rPr>
        <w:t>豫公通〔2009〕239号</w:t>
      </w:r>
      <w:r>
        <w:rPr>
          <w:rFonts w:hint="eastAsia" w:ascii="仿宋_GB2312" w:eastAsia="仿宋_GB2312" w:cs="仿宋_GB2312"/>
          <w:color w:val="333333"/>
          <w:kern w:val="0"/>
          <w:sz w:val="32"/>
          <w:szCs w:val="32"/>
          <w:shd w:val="clear" w:color="050000" w:fill="FFFFFF"/>
          <w:lang w:val="en-US" w:eastAsia="zh-CN"/>
        </w:rPr>
        <w:t>，以下简称《</w:t>
      </w:r>
      <w:r>
        <w:rPr>
          <w:rFonts w:hint="default" w:ascii="仿宋_GB2312" w:hAnsi="Calibri" w:eastAsia="仿宋_GB2312" w:cs="仿宋_GB2312"/>
          <w:color w:val="333333"/>
          <w:kern w:val="0"/>
          <w:sz w:val="32"/>
          <w:szCs w:val="32"/>
          <w:shd w:val="clear" w:color="050000" w:fill="FFFFFF"/>
          <w:lang w:val="en-US" w:eastAsia="zh-CN"/>
        </w:rPr>
        <w:t>裁量标准</w:t>
      </w:r>
      <w:r>
        <w:rPr>
          <w:rFonts w:hint="eastAsia" w:ascii="仿宋_GB2312" w:eastAsia="仿宋_GB2312" w:cs="仿宋_GB2312"/>
          <w:color w:val="333333"/>
          <w:kern w:val="0"/>
          <w:sz w:val="32"/>
          <w:szCs w:val="32"/>
          <w:shd w:val="clear" w:color="050000" w:fill="FFFFFF"/>
          <w:lang w:val="en-US" w:eastAsia="zh-CN"/>
        </w:rPr>
        <w:t>》</w:t>
      </w:r>
      <w:r>
        <w:rPr>
          <w:rFonts w:hint="default" w:ascii="仿宋_GB2312" w:hAnsi="Calibri" w:eastAsia="仿宋_GB2312" w:cs="仿宋_GB2312"/>
          <w:color w:val="333333"/>
          <w:kern w:val="0"/>
          <w:sz w:val="32"/>
          <w:szCs w:val="32"/>
          <w:shd w:val="clear" w:color="050000" w:fill="FFFFFF"/>
          <w:lang w:val="en-US" w:eastAsia="zh-CN"/>
        </w:rPr>
        <w:t>）自</w:t>
      </w:r>
      <w:r>
        <w:rPr>
          <w:rFonts w:hint="eastAsia" w:ascii="仿宋_GB2312" w:eastAsia="仿宋_GB2312"/>
          <w:sz w:val="32"/>
          <w:szCs w:val="32"/>
        </w:rPr>
        <w:t>2009年8月1日起实施</w:t>
      </w:r>
      <w:r>
        <w:rPr>
          <w:rFonts w:hint="default" w:ascii="仿宋_GB2312" w:hAnsi="Calibri" w:eastAsia="仿宋_GB2312" w:cs="仿宋_GB2312"/>
          <w:color w:val="333333"/>
          <w:kern w:val="0"/>
          <w:sz w:val="32"/>
          <w:szCs w:val="32"/>
          <w:shd w:val="clear" w:color="050000" w:fill="FFFFFF"/>
          <w:lang w:val="en-US" w:eastAsia="zh-CN"/>
        </w:rPr>
        <w:t>以来，在推动各级公安机关正确实施《中华人民共和国治安管理处罚法》，确保依法、合理行政，维护公民、法人和其他组织的合法权益规范等方面发挥了重要作用。但是，随着社会形势的不断发展变化，《裁量标准》</w:t>
      </w:r>
      <w:r>
        <w:rPr>
          <w:rFonts w:hint="eastAsia" w:ascii="仿宋_GB2312" w:eastAsia="仿宋_GB2312" w:cs="仿宋_GB2312"/>
          <w:color w:val="333333"/>
          <w:kern w:val="0"/>
          <w:sz w:val="32"/>
          <w:szCs w:val="32"/>
          <w:shd w:val="clear" w:color="050000" w:fill="FFFFFF"/>
          <w:lang w:val="en-US" w:eastAsia="zh-CN"/>
        </w:rPr>
        <w:t>相关条款</w:t>
      </w:r>
      <w:r>
        <w:rPr>
          <w:rFonts w:hint="default" w:ascii="仿宋_GB2312" w:hAnsi="Calibri" w:eastAsia="仿宋_GB2312" w:cs="仿宋_GB2312"/>
          <w:color w:val="333333"/>
          <w:kern w:val="0"/>
          <w:sz w:val="32"/>
          <w:szCs w:val="32"/>
          <w:shd w:val="clear" w:color="050000" w:fill="FFFFFF"/>
          <w:lang w:val="en-US" w:eastAsia="zh-CN"/>
        </w:rPr>
        <w:t>明显存在与执法要求不相适应的地方。</w:t>
      </w:r>
      <w:r>
        <w:rPr>
          <w:rFonts w:hint="eastAsia" w:ascii="仿宋_GB2312" w:eastAsia="仿宋_GB2312" w:cs="仿宋_GB2312"/>
          <w:color w:val="333333"/>
          <w:kern w:val="0"/>
          <w:sz w:val="32"/>
          <w:szCs w:val="32"/>
          <w:shd w:val="clear" w:color="050000" w:fill="FFFFFF"/>
          <w:lang w:val="en-US" w:eastAsia="zh-CN"/>
        </w:rPr>
        <w:t>为</w:t>
      </w:r>
      <w:r>
        <w:rPr>
          <w:rFonts w:hint="default" w:ascii="仿宋_GB2312" w:hAnsi="Calibri" w:eastAsia="仿宋_GB2312" w:cs="仿宋_GB2312"/>
          <w:color w:val="333333"/>
          <w:kern w:val="0"/>
          <w:sz w:val="32"/>
          <w:szCs w:val="32"/>
          <w:shd w:val="clear" w:color="050000" w:fill="FFFFFF"/>
          <w:lang w:val="en-US" w:eastAsia="zh-CN"/>
        </w:rPr>
        <w:t>认真贯彻“过罚相当”“宽严相济”原则，</w:t>
      </w:r>
      <w:r>
        <w:rPr>
          <w:rFonts w:hint="eastAsia" w:ascii="仿宋_GB2312" w:eastAsia="仿宋_GB2312" w:cs="仿宋_GB2312"/>
          <w:color w:val="333333"/>
          <w:kern w:val="0"/>
          <w:sz w:val="32"/>
          <w:szCs w:val="32"/>
          <w:shd w:val="clear" w:color="050000" w:fill="FFFFFF"/>
          <w:lang w:val="en-US" w:eastAsia="zh-CN"/>
        </w:rPr>
        <w:t>坚持</w:t>
      </w:r>
      <w:r>
        <w:rPr>
          <w:rFonts w:hint="default" w:ascii="仿宋_GB2312" w:hAnsi="Calibri" w:eastAsia="仿宋_GB2312" w:cs="仿宋_GB2312"/>
          <w:color w:val="333333"/>
          <w:kern w:val="0"/>
          <w:sz w:val="32"/>
          <w:szCs w:val="32"/>
          <w:shd w:val="clear" w:color="050000" w:fill="FFFFFF"/>
          <w:lang w:val="en-US" w:eastAsia="zh-CN"/>
        </w:rPr>
        <w:t>对赌博或者为赌博提供条件行为的处罚，与其违法事实、情节、社会危害程度相适应，确保法律效果与社会效果的统一，</w:t>
      </w:r>
      <w:r>
        <w:rPr>
          <w:rFonts w:hint="eastAsia" w:ascii="仿宋_GB2312" w:eastAsia="仿宋_GB2312" w:cs="仿宋_GB2312"/>
          <w:color w:val="333333"/>
          <w:kern w:val="0"/>
          <w:sz w:val="32"/>
          <w:szCs w:val="32"/>
          <w:shd w:val="clear" w:color="050000" w:fill="FFFFFF"/>
          <w:lang w:val="en-US" w:eastAsia="zh-CN"/>
        </w:rPr>
        <w:t>避免出现</w:t>
      </w:r>
      <w:r>
        <w:rPr>
          <w:rFonts w:hint="default" w:ascii="仿宋_GB2312" w:hAnsi="Calibri" w:eastAsia="仿宋_GB2312" w:cs="仿宋_GB2312"/>
          <w:color w:val="333333"/>
          <w:kern w:val="0"/>
          <w:sz w:val="32"/>
          <w:szCs w:val="32"/>
          <w:shd w:val="clear" w:color="050000" w:fill="FFFFFF"/>
          <w:lang w:val="en-US" w:eastAsia="zh-CN"/>
        </w:rPr>
        <w:t>不分情节轻重，简单顶格处罚</w:t>
      </w:r>
      <w:r>
        <w:rPr>
          <w:rFonts w:hint="eastAsia" w:ascii="仿宋_GB2312" w:eastAsia="仿宋_GB2312" w:cs="仿宋_GB2312"/>
          <w:color w:val="333333"/>
          <w:kern w:val="0"/>
          <w:sz w:val="32"/>
          <w:szCs w:val="32"/>
          <w:shd w:val="clear" w:color="050000" w:fill="FFFFFF"/>
          <w:lang w:val="en-US" w:eastAsia="zh-CN"/>
        </w:rPr>
        <w:t>现象</w:t>
      </w:r>
      <w:r>
        <w:rPr>
          <w:rFonts w:hint="default" w:ascii="仿宋_GB2312" w:hAnsi="Calibri" w:eastAsia="仿宋_GB2312" w:cs="仿宋_GB2312"/>
          <w:color w:val="333333"/>
          <w:kern w:val="0"/>
          <w:sz w:val="32"/>
          <w:szCs w:val="32"/>
          <w:shd w:val="clear" w:color="050000" w:fill="FFFFFF"/>
          <w:lang w:val="en-US" w:eastAsia="zh-CN"/>
        </w:rPr>
        <w:t>。为此，</w:t>
      </w:r>
      <w:r>
        <w:rPr>
          <w:rFonts w:hint="eastAsia" w:ascii="仿宋_GB2312" w:hAnsi="仿宋_GB2312" w:eastAsia="仿宋_GB2312" w:cs="仿宋_GB2312"/>
          <w:sz w:val="32"/>
          <w:szCs w:val="32"/>
          <w:lang w:val="en-US" w:eastAsia="zh-CN"/>
        </w:rPr>
        <w:t>结合我省执法实际</w:t>
      </w:r>
      <w:r>
        <w:rPr>
          <w:rFonts w:hint="eastAsia" w:ascii="仿宋" w:hAnsi="仿宋" w:eastAsia="仿宋" w:cs="仿宋"/>
          <w:sz w:val="32"/>
          <w:szCs w:val="32"/>
          <w:lang w:val="en-US" w:eastAsia="zh-CN"/>
        </w:rPr>
        <w:t>，</w:t>
      </w:r>
      <w:r>
        <w:rPr>
          <w:rFonts w:hint="default" w:ascii="仿宋_GB2312" w:hAnsi="Calibri" w:eastAsia="仿宋_GB2312" w:cs="仿宋_GB2312"/>
          <w:color w:val="333333"/>
          <w:kern w:val="0"/>
          <w:sz w:val="32"/>
          <w:szCs w:val="32"/>
          <w:shd w:val="clear" w:color="050000" w:fill="FFFFFF"/>
          <w:lang w:val="en-US" w:eastAsia="zh-CN"/>
        </w:rPr>
        <w:t>省</w:t>
      </w:r>
      <w:r>
        <w:rPr>
          <w:rFonts w:hint="eastAsia" w:ascii="仿宋_GB2312" w:eastAsia="仿宋_GB2312" w:cs="仿宋_GB2312"/>
          <w:color w:val="333333"/>
          <w:kern w:val="0"/>
          <w:sz w:val="32"/>
          <w:szCs w:val="32"/>
          <w:shd w:val="clear" w:color="050000" w:fill="FFFFFF"/>
          <w:lang w:val="en-US" w:eastAsia="zh-CN"/>
        </w:rPr>
        <w:t>公安</w:t>
      </w:r>
      <w:r>
        <w:rPr>
          <w:rFonts w:hint="default" w:ascii="仿宋_GB2312" w:hAnsi="Calibri" w:eastAsia="仿宋_GB2312" w:cs="仿宋_GB2312"/>
          <w:color w:val="333333"/>
          <w:kern w:val="0"/>
          <w:sz w:val="32"/>
          <w:szCs w:val="32"/>
          <w:shd w:val="clear" w:color="050000" w:fill="FFFFFF"/>
          <w:lang w:val="en-US" w:eastAsia="zh-CN"/>
        </w:rPr>
        <w:t>厅</w:t>
      </w:r>
      <w:r>
        <w:rPr>
          <w:rFonts w:hint="eastAsia" w:ascii="仿宋_GB2312" w:eastAsia="仿宋_GB2312" w:cs="仿宋_GB2312"/>
          <w:color w:val="333333"/>
          <w:kern w:val="0"/>
          <w:sz w:val="32"/>
          <w:szCs w:val="32"/>
          <w:shd w:val="clear" w:color="050000" w:fill="FFFFFF"/>
          <w:lang w:val="en-US" w:eastAsia="zh-CN"/>
        </w:rPr>
        <w:t>专门组织人员</w:t>
      </w:r>
      <w:r>
        <w:rPr>
          <w:rFonts w:hint="default" w:ascii="仿宋_GB2312" w:hAnsi="Calibri" w:eastAsia="仿宋_GB2312" w:cs="仿宋_GB2312"/>
          <w:color w:val="333333"/>
          <w:kern w:val="0"/>
          <w:sz w:val="32"/>
          <w:szCs w:val="32"/>
          <w:shd w:val="clear" w:color="050000" w:fill="FFFFFF"/>
          <w:lang w:val="en-US" w:eastAsia="zh-CN"/>
        </w:rPr>
        <w:t>对《</w:t>
      </w:r>
      <w:r>
        <w:rPr>
          <w:rFonts w:hint="eastAsia" w:ascii="仿宋_GB2312" w:eastAsia="仿宋_GB2312" w:cs="仿宋_GB2312"/>
          <w:color w:val="333333"/>
          <w:kern w:val="0"/>
          <w:sz w:val="32"/>
          <w:szCs w:val="32"/>
          <w:shd w:val="clear" w:color="050000" w:fill="FFFFFF"/>
          <w:lang w:val="en-US" w:eastAsia="zh-CN"/>
        </w:rPr>
        <w:t>裁量标准</w:t>
      </w:r>
      <w:r>
        <w:rPr>
          <w:rFonts w:hint="default" w:ascii="仿宋_GB2312" w:hAnsi="Calibri" w:eastAsia="仿宋_GB2312" w:cs="仿宋_GB2312"/>
          <w:color w:val="333333"/>
          <w:kern w:val="0"/>
          <w:sz w:val="32"/>
          <w:szCs w:val="32"/>
          <w:shd w:val="clear" w:color="050000" w:fill="FFFFFF"/>
          <w:lang w:val="en-US" w:eastAsia="zh-CN"/>
        </w:rPr>
        <w:t>》第</w:t>
      </w:r>
      <w:r>
        <w:rPr>
          <w:rFonts w:hint="eastAsia" w:ascii="仿宋_GB2312" w:eastAsia="仿宋_GB2312" w:cs="仿宋_GB2312"/>
          <w:color w:val="333333"/>
          <w:kern w:val="0"/>
          <w:sz w:val="32"/>
          <w:szCs w:val="32"/>
          <w:shd w:val="clear" w:color="050000" w:fill="FFFFFF"/>
          <w:lang w:val="en-US" w:eastAsia="zh-CN"/>
        </w:rPr>
        <w:t>九十三、九十四条</w:t>
      </w:r>
      <w:r>
        <w:rPr>
          <w:rFonts w:hint="default" w:ascii="仿宋_GB2312" w:hAnsi="Calibri" w:eastAsia="仿宋_GB2312" w:cs="仿宋_GB2312"/>
          <w:color w:val="333333"/>
          <w:kern w:val="0"/>
          <w:sz w:val="32"/>
          <w:szCs w:val="32"/>
          <w:shd w:val="clear" w:color="050000" w:fill="FFFFFF"/>
          <w:lang w:val="en-US" w:eastAsia="zh-CN"/>
        </w:rPr>
        <w:t>规定的行政处罚裁量标准进行修改完善。</w:t>
      </w:r>
      <w:r>
        <w:rPr>
          <w:rFonts w:hint="eastAsia" w:ascii="仿宋_GB2312" w:hAnsi="仿宋_GB2312" w:eastAsia="仿宋_GB2312" w:cs="仿宋_GB2312"/>
          <w:sz w:val="32"/>
          <w:szCs w:val="32"/>
          <w:lang w:val="en-US" w:eastAsia="zh-CN"/>
        </w:rPr>
        <w:t>现印发给你们，请遵照执行。执行中遇到的问题请及时告省公安厅治安总队。</w:t>
      </w:r>
    </w:p>
    <w:p>
      <w:pPr>
        <w:widowControl w:val="0"/>
        <w:wordWrap/>
        <w:adjustRightInd/>
        <w:snapToGrid/>
        <w:spacing w:line="600" w:lineRule="exact"/>
        <w:ind w:left="0" w:lef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val="0"/>
        <w:wordWrap/>
        <w:adjustRightInd/>
        <w:snapToGrid/>
        <w:spacing w:line="600" w:lineRule="exact"/>
        <w:ind w:left="1598" w:leftChars="304" w:hanging="960" w:hangingChars="300"/>
        <w:jc w:val="left"/>
        <w:textAlignment w:val="auto"/>
        <w:outlineLvl w:val="9"/>
        <w:rPr>
          <w:rFonts w:hint="default" w:ascii="仿宋_GB2312" w:hAnsi="仿宋_GB2312" w:eastAsia="仿宋_GB2312"/>
          <w:color w:val="000000"/>
          <w:sz w:val="32"/>
          <w:u w:val="none"/>
          <w:shd w:val="clear" w:color="auto" w:fill="FFFFFF"/>
          <w:lang w:eastAsia="zh-CN"/>
        </w:rPr>
      </w:pPr>
      <w:r>
        <w:rPr>
          <w:rFonts w:hint="default" w:ascii="仿宋_GB2312" w:hAnsi="仿宋_GB2312" w:eastAsia="仿宋_GB2312"/>
          <w:color w:val="000000"/>
          <w:sz w:val="32"/>
          <w:u w:val="none"/>
          <w:shd w:val="clear" w:color="auto" w:fill="FFFFFF"/>
          <w:lang w:eastAsia="zh-CN"/>
        </w:rPr>
        <w:t>附</w:t>
      </w:r>
      <w:r>
        <w:rPr>
          <w:rFonts w:hint="eastAsia" w:ascii="仿宋_GB2312" w:hAnsi="仿宋_GB2312" w:eastAsia="仿宋_GB2312"/>
          <w:color w:val="000000"/>
          <w:sz w:val="32"/>
          <w:u w:val="none"/>
          <w:shd w:val="clear" w:color="auto" w:fill="FFFFFF"/>
          <w:lang w:eastAsia="zh-CN"/>
        </w:rPr>
        <w:t>件</w:t>
      </w:r>
      <w:r>
        <w:rPr>
          <w:rFonts w:hint="default" w:ascii="仿宋_GB2312" w:hAnsi="仿宋_GB2312" w:eastAsia="仿宋_GB2312"/>
          <w:color w:val="000000"/>
          <w:sz w:val="32"/>
          <w:u w:val="none"/>
          <w:shd w:val="clear" w:color="auto" w:fill="FFFFFF"/>
          <w:lang w:eastAsia="zh-CN"/>
        </w:rPr>
        <w:t>：</w:t>
      </w:r>
      <w:r>
        <w:rPr>
          <w:rFonts w:hint="default" w:ascii="仿宋_GB2312" w:hAnsi="仿宋_GB2312" w:eastAsia="仿宋_GB2312"/>
          <w:color w:val="000000"/>
          <w:sz w:val="32"/>
          <w:u w:val="none"/>
          <w:shd w:val="clear" w:color="auto" w:fill="FFFFFF"/>
          <w:lang w:val="en-US" w:eastAsia="zh-CN"/>
        </w:rPr>
        <w:t>河南省公安机关治安管理处罚裁量标准</w:t>
      </w:r>
      <w:r>
        <w:rPr>
          <w:rFonts w:hint="default" w:ascii="仿宋_GB2312" w:hAnsi="仿宋_GB2312" w:eastAsia="仿宋_GB2312"/>
          <w:color w:val="000000"/>
          <w:sz w:val="32"/>
          <w:u w:val="none"/>
          <w:shd w:val="clear" w:color="auto" w:fill="FFFFFF"/>
          <w:lang w:eastAsia="zh-CN"/>
        </w:rPr>
        <w:t>第九十三、九十四条行政处罚裁量标准修订</w:t>
      </w:r>
    </w:p>
    <w:p>
      <w:pPr>
        <w:widowControl w:val="0"/>
        <w:wordWrap/>
        <w:adjustRightInd/>
        <w:snapToGrid/>
        <w:spacing w:line="600" w:lineRule="exact"/>
        <w:ind w:left="640" w:leftChars="0" w:hanging="640" w:hangingChars="200"/>
        <w:jc w:val="both"/>
        <w:textAlignment w:val="auto"/>
        <w:outlineLvl w:val="9"/>
        <w:rPr>
          <w:rFonts w:hint="default" w:ascii="仿宋_GB2312" w:hAnsi="仿宋_GB2312" w:eastAsia="仿宋_GB2312"/>
          <w:color w:val="000000"/>
          <w:sz w:val="32"/>
          <w:u w:val="none"/>
          <w:shd w:val="clear" w:color="auto" w:fill="FFFFFF"/>
          <w:lang w:eastAsia="zh-CN"/>
        </w:rPr>
      </w:pPr>
    </w:p>
    <w:p>
      <w:pPr>
        <w:widowControl w:val="0"/>
        <w:wordWrap/>
        <w:adjustRightInd/>
        <w:snapToGrid/>
        <w:spacing w:line="600" w:lineRule="exact"/>
        <w:ind w:left="0" w:leftChars="0" w:firstLine="640" w:firstLineChars="200"/>
        <w:jc w:val="both"/>
        <w:textAlignment w:val="auto"/>
        <w:outlineLvl w:val="9"/>
        <w:rPr>
          <w:rFonts w:hint="default" w:ascii="仿宋" w:hAnsi="仿宋" w:eastAsia="仿宋" w:cs="仿宋"/>
          <w:sz w:val="32"/>
          <w:szCs w:val="32"/>
          <w:lang w:val="en-US" w:eastAsia="zh-CN"/>
        </w:rPr>
      </w:pPr>
    </w:p>
    <w:p>
      <w:pPr>
        <w:widowControl w:val="0"/>
        <w:wordWrap w:val="0"/>
        <w:adjustRightInd/>
        <w:snapToGrid/>
        <w:spacing w:line="600" w:lineRule="exact"/>
        <w:ind w:left="0" w:leftChars="0" w:firstLine="4480" w:firstLineChars="14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河南省公安厅           </w:t>
      </w:r>
    </w:p>
    <w:p>
      <w:pPr>
        <w:widowControl w:val="0"/>
        <w:wordWrap w:val="0"/>
        <w:adjustRightInd/>
        <w:snapToGrid/>
        <w:spacing w:line="600" w:lineRule="exact"/>
        <w:ind w:left="0" w:leftChars="0" w:firstLine="5120" w:firstLineChars="16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2019年11月25日    </w:t>
      </w: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both"/>
        <w:textAlignment w:val="auto"/>
        <w:outlineLvl w:val="9"/>
        <w:rPr>
          <w:rFonts w:hint="eastAsia" w:ascii="宋体" w:hAnsi="宋体"/>
          <w:sz w:val="44"/>
          <w:szCs w:val="44"/>
        </w:rPr>
      </w:pPr>
    </w:p>
    <w:p>
      <w:pPr>
        <w:widowControl w:val="0"/>
        <w:wordWrap/>
        <w:adjustRightInd/>
        <w:snapToGrid/>
        <w:spacing w:line="600" w:lineRule="exact"/>
        <w:ind w:left="0" w:leftChars="0"/>
        <w:jc w:val="center"/>
        <w:textAlignment w:val="auto"/>
        <w:outlineLvl w:val="9"/>
        <w:rPr>
          <w:rFonts w:hint="eastAsia" w:ascii="宋体" w:hAnsi="宋体"/>
          <w:sz w:val="44"/>
          <w:szCs w:val="44"/>
        </w:rPr>
      </w:pPr>
    </w:p>
    <w:p>
      <w:pPr>
        <w:widowControl w:val="0"/>
        <w:wordWrap/>
        <w:adjustRightInd/>
        <w:snapToGrid/>
        <w:spacing w:line="600" w:lineRule="exact"/>
        <w:ind w:left="0" w:left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rPr>
          <w:rFonts w:hint="eastAsia"/>
          <w:sz w:val="44"/>
          <w:szCs w:val="44"/>
          <w:lang w:eastAsia="zh-CN"/>
        </w:rPr>
      </w:pPr>
    </w:p>
    <w:p>
      <w:pPr>
        <w:widowControl w:val="0"/>
        <w:wordWrap/>
        <w:adjustRightInd/>
        <w:snapToGrid/>
        <w:spacing w:line="60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河南省公安机关治安管理处罚裁量标准</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第九十三、九十四条</w:t>
      </w:r>
      <w:r>
        <w:rPr>
          <w:rFonts w:hint="eastAsia" w:ascii="方正小标宋简体" w:hAnsi="方正小标宋简体" w:eastAsia="方正小标宋简体" w:cs="方正小标宋简体"/>
          <w:sz w:val="44"/>
          <w:szCs w:val="44"/>
        </w:rPr>
        <w:t>行政处罚裁量标准</w:t>
      </w:r>
      <w:r>
        <w:rPr>
          <w:rFonts w:hint="eastAsia" w:ascii="方正小标宋简体" w:hAnsi="方正小标宋简体" w:eastAsia="方正小标宋简体" w:cs="方正小标宋简体"/>
          <w:sz w:val="44"/>
          <w:szCs w:val="44"/>
          <w:lang w:eastAsia="zh-CN"/>
        </w:rPr>
        <w:t>修订</w:t>
      </w:r>
    </w:p>
    <w:p>
      <w:pPr>
        <w:widowControl w:val="0"/>
        <w:wordWrap/>
        <w:adjustRightInd/>
        <w:snapToGrid/>
        <w:spacing w:line="600" w:lineRule="exact"/>
        <w:ind w:left="0" w:leftChars="0"/>
        <w:textAlignment w:val="auto"/>
        <w:outlineLvl w:val="9"/>
        <w:rPr>
          <w:rFonts w:ascii="仿宋_GB2312" w:eastAsia="仿宋_GB2312"/>
          <w:sz w:val="32"/>
          <w:szCs w:val="32"/>
        </w:rPr>
      </w:pPr>
    </w:p>
    <w:p>
      <w:pPr>
        <w:widowControl w:val="0"/>
        <w:wordWrap/>
        <w:adjustRightInd/>
        <w:snapToGrid/>
        <w:spacing w:line="60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93</w:t>
      </w:r>
      <w:r>
        <w:rPr>
          <w:rFonts w:hint="eastAsia" w:ascii="黑体" w:hAnsi="黑体" w:eastAsia="黑体" w:cs="黑体"/>
          <w:sz w:val="32"/>
          <w:szCs w:val="32"/>
        </w:rPr>
        <w:t>、为赌博提供条件</w:t>
      </w:r>
    </w:p>
    <w:p>
      <w:pPr>
        <w:widowControl w:val="0"/>
        <w:wordWrap/>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黑体" w:hAnsi="黑体" w:eastAsia="黑体" w:cs="黑体"/>
          <w:sz w:val="32"/>
          <w:szCs w:val="32"/>
        </w:rPr>
        <w:t>法律依据</w:t>
      </w:r>
      <w:r>
        <w:rPr>
          <w:rFonts w:hint="eastAsia" w:ascii="仿宋_GB2312" w:hAnsi="仿宋_GB2312" w:eastAsia="仿宋_GB2312" w:cs="仿宋_GB2312"/>
          <w:sz w:val="32"/>
          <w:szCs w:val="32"/>
        </w:rPr>
        <w:t>】</w:t>
      </w:r>
    </w:p>
    <w:p>
      <w:pPr>
        <w:widowControl w:val="0"/>
        <w:wordWrap/>
        <w:adjustRightInd/>
        <w:snapToGrid/>
        <w:spacing w:line="600" w:lineRule="exact"/>
        <w:ind w:left="0" w:leftChars="0" w:firstLine="640" w:firstLineChars="200"/>
        <w:textAlignment w:val="auto"/>
        <w:outlineLvl w:val="9"/>
        <w:rPr>
          <w:rFonts w:hint="eastAsia" w:ascii="楷体" w:hAnsi="楷体" w:eastAsia="楷体" w:cs="楷体"/>
          <w:sz w:val="32"/>
          <w:szCs w:val="32"/>
        </w:rPr>
      </w:pPr>
      <w:r>
        <w:rPr>
          <w:rFonts w:hint="eastAsia" w:ascii="黑体" w:hAnsi="黑体" w:eastAsia="黑体" w:cs="黑体"/>
          <w:sz w:val="32"/>
          <w:szCs w:val="32"/>
          <w:lang w:eastAsia="zh-CN"/>
        </w:rPr>
        <w:t>《中华人民共和国治安管理处罚法》</w:t>
      </w:r>
      <w:r>
        <w:rPr>
          <w:rFonts w:hint="eastAsia" w:ascii="黑体" w:hAnsi="黑体" w:eastAsia="黑体" w:cs="黑体"/>
          <w:sz w:val="32"/>
          <w:szCs w:val="32"/>
        </w:rPr>
        <w:t>第七十条</w:t>
      </w:r>
      <w:r>
        <w:rPr>
          <w:rFonts w:hint="eastAsia" w:ascii="仿宋_GB2312" w:hAnsi="仿宋_GB2312" w:eastAsia="仿宋_GB2312" w:cs="仿宋_GB2312"/>
          <w:sz w:val="32"/>
          <w:szCs w:val="32"/>
        </w:rPr>
        <w:t xml:space="preserve">   以营</w:t>
      </w:r>
      <w:r>
        <w:rPr>
          <w:rFonts w:hint="eastAsia" w:ascii="仿宋_GB2312" w:eastAsia="仿宋_GB2312"/>
          <w:sz w:val="32"/>
          <w:szCs w:val="32"/>
        </w:rPr>
        <w:t>利为目的，为赌博提供条件的，或者参与赌博赌资较大的，处五日以下拘留或者五百元以下罚款；情节严重的，处十日以上十五日以下拘留，并处五百元以上三千元以下罚款。</w:t>
      </w:r>
    </w:p>
    <w:p>
      <w:pPr>
        <w:widowControl w:val="0"/>
        <w:wordWrap/>
        <w:adjustRightInd/>
        <w:snapToGrid/>
        <w:spacing w:line="600" w:lineRule="exact"/>
        <w:ind w:left="0" w:leftChars="0" w:firstLine="640" w:firstLineChars="200"/>
        <w:textAlignment w:val="auto"/>
        <w:outlineLvl w:val="9"/>
        <w:rPr>
          <w:rFonts w:hint="eastAsia" w:ascii="楷体" w:hAnsi="楷体" w:eastAsia="楷体" w:cs="楷体"/>
          <w:sz w:val="32"/>
          <w:szCs w:val="32"/>
        </w:rPr>
      </w:pPr>
      <w:r>
        <w:rPr>
          <w:rFonts w:hint="eastAsia" w:ascii="黑体" w:eastAsia="黑体"/>
          <w:sz w:val="32"/>
          <w:szCs w:val="32"/>
        </w:rPr>
        <w:t>【裁量标准】</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lang w:eastAsia="zh-CN"/>
        </w:rPr>
      </w:pPr>
      <w:r>
        <w:rPr>
          <w:rFonts w:hint="eastAsia" w:ascii="楷体" w:hAnsi="楷体" w:eastAsia="楷体" w:cs="楷体"/>
          <w:sz w:val="32"/>
          <w:szCs w:val="32"/>
        </w:rPr>
        <w:t>（一）</w:t>
      </w:r>
      <w:r>
        <w:rPr>
          <w:rFonts w:hint="eastAsia" w:ascii="楷体" w:hAnsi="楷体" w:eastAsia="楷体" w:cs="楷体"/>
          <w:sz w:val="32"/>
          <w:szCs w:val="32"/>
          <w:lang w:eastAsia="zh-CN"/>
        </w:rPr>
        <w:t>一般违法行为的表现情形</w:t>
      </w:r>
      <w:r>
        <w:rPr>
          <w:rFonts w:hint="eastAsia" w:ascii="仿宋_GB2312" w:eastAsia="仿宋_GB2312"/>
          <w:sz w:val="32"/>
          <w:szCs w:val="32"/>
          <w:lang w:eastAsia="zh-CN"/>
        </w:rPr>
        <w:t>：</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以营利为目的，为赌博提供条件的，处5日以下</w:t>
      </w:r>
      <w:r>
        <w:rPr>
          <w:rFonts w:hint="eastAsia" w:ascii="仿宋_GB2312" w:eastAsia="仿宋_GB2312"/>
          <w:sz w:val="32"/>
          <w:szCs w:val="32"/>
          <w:lang w:eastAsia="zh-CN"/>
        </w:rPr>
        <w:t>行政拘留</w:t>
      </w:r>
      <w:r>
        <w:rPr>
          <w:rFonts w:hint="eastAsia" w:ascii="仿宋_GB2312" w:eastAsia="仿宋_GB2312"/>
          <w:sz w:val="32"/>
          <w:szCs w:val="32"/>
        </w:rPr>
        <w:t>或500元以下罚款。</w:t>
      </w:r>
    </w:p>
    <w:p>
      <w:pPr>
        <w:widowControl w:val="0"/>
        <w:wordWrap/>
        <w:adjustRightInd/>
        <w:snapToGrid/>
        <w:spacing w:line="600" w:lineRule="exact"/>
        <w:ind w:left="0" w:leftChars="0" w:firstLine="640" w:firstLineChars="200"/>
        <w:textAlignment w:val="auto"/>
        <w:outlineLvl w:val="9"/>
        <w:rPr>
          <w:rFonts w:hint="eastAsia" w:ascii="仿宋_GB2312" w:eastAsia="仿宋_GB2312"/>
          <w:b w:val="0"/>
          <w:bCs w:val="0"/>
          <w:sz w:val="32"/>
          <w:szCs w:val="32"/>
        </w:rPr>
      </w:pPr>
      <w:r>
        <w:rPr>
          <w:rFonts w:hint="eastAsia" w:ascii="楷体" w:hAnsi="楷体" w:eastAsia="楷体" w:cs="楷体"/>
          <w:b w:val="0"/>
          <w:bCs w:val="0"/>
          <w:sz w:val="32"/>
          <w:szCs w:val="32"/>
        </w:rPr>
        <w:t>（二）有下列情形之一的，视为情节严重：</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 xml:space="preserve">设置赌博机的数量或者为他人提供场所放置的赌博机数量达到有关规范性文件认定构成开设赌场罪标准的百分之五十以上的； </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在公共场所或者公共交通工具上为赌博提供条件的；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 xml:space="preserve">通过计算机信息网络平台为赌博提供条件的； </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为未成年人赌博提供条件的；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国家工作人员为赌博提供条件的；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sz w:val="32"/>
          <w:szCs w:val="32"/>
        </w:rPr>
        <w:t>明知他人从事赌博活动而向其销售赌博机的；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发行、销售“六合彩”等其他私彩的；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组织、协助他人出境赌博的；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val="en-US" w:eastAsia="zh-CN"/>
        </w:rPr>
        <w:t>.</w:t>
      </w:r>
      <w:r>
        <w:rPr>
          <w:rFonts w:hint="eastAsia" w:ascii="仿宋_GB2312" w:eastAsia="仿宋_GB2312"/>
          <w:sz w:val="32"/>
          <w:szCs w:val="32"/>
        </w:rPr>
        <w:t>为赌场接送参赌人员、望风看场、发牌做庄、兑换筹码等服务或条件的；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10</w:t>
      </w:r>
      <w:r>
        <w:rPr>
          <w:rFonts w:hint="eastAsia" w:ascii="仿宋_GB2312" w:eastAsia="仿宋_GB2312"/>
          <w:sz w:val="32"/>
          <w:szCs w:val="32"/>
          <w:lang w:val="en-US" w:eastAsia="zh-CN"/>
        </w:rPr>
        <w:t>.</w:t>
      </w:r>
      <w:r>
        <w:rPr>
          <w:rFonts w:hint="eastAsia" w:ascii="仿宋_GB2312" w:eastAsia="仿宋_GB2312"/>
          <w:sz w:val="32"/>
          <w:szCs w:val="32"/>
        </w:rPr>
        <w:t>一年内曾因赌博或者为赌博提供条件受过处罚的。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11</w:t>
      </w:r>
      <w:r>
        <w:rPr>
          <w:rFonts w:hint="eastAsia" w:ascii="仿宋_GB2312" w:eastAsia="仿宋_GB2312"/>
          <w:sz w:val="32"/>
          <w:szCs w:val="32"/>
          <w:lang w:val="en-US" w:eastAsia="zh-CN"/>
        </w:rPr>
        <w:t>.</w:t>
      </w:r>
      <w:r>
        <w:rPr>
          <w:rFonts w:hint="eastAsia" w:ascii="仿宋_GB2312" w:eastAsia="仿宋_GB2312"/>
          <w:sz w:val="32"/>
          <w:szCs w:val="32"/>
        </w:rPr>
        <w:t>其他情节严重的情形。</w:t>
      </w:r>
    </w:p>
    <w:p>
      <w:pPr>
        <w:widowControl w:val="0"/>
        <w:wordWrap/>
        <w:adjustRightInd/>
        <w:snapToGrid/>
        <w:spacing w:line="60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94</w:t>
      </w:r>
      <w:r>
        <w:rPr>
          <w:rFonts w:hint="eastAsia" w:ascii="黑体" w:hAnsi="黑体" w:eastAsia="黑体" w:cs="黑体"/>
          <w:sz w:val="32"/>
          <w:szCs w:val="32"/>
        </w:rPr>
        <w:t>、赌博</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黑体" w:eastAsia="黑体"/>
          <w:sz w:val="32"/>
          <w:szCs w:val="32"/>
        </w:rPr>
        <w:t>【法律依据】</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黑体" w:eastAsia="黑体"/>
          <w:sz w:val="32"/>
          <w:szCs w:val="32"/>
          <w:lang w:eastAsia="zh-CN"/>
        </w:rPr>
        <w:t>《中华人民共和国治安管理处罚法》</w:t>
      </w:r>
      <w:r>
        <w:rPr>
          <w:rFonts w:hint="eastAsia" w:ascii="黑体" w:eastAsia="黑体"/>
          <w:sz w:val="32"/>
          <w:szCs w:val="32"/>
        </w:rPr>
        <w:t>第七十条</w:t>
      </w:r>
      <w:r>
        <w:rPr>
          <w:rFonts w:hint="eastAsia" w:ascii="仿宋_GB2312" w:eastAsia="仿宋_GB2312"/>
          <w:sz w:val="32"/>
          <w:szCs w:val="32"/>
        </w:rPr>
        <w:t xml:space="preserve">   以营利为目的，为赌博提供条件的，或者参与赌博赌资较大的，处五日以下拘留或者五百元以下罚款；情节严重的，处十日以上十五日以下拘留，并处五百元以上三千元以下罚款。</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黑体" w:eastAsia="黑体"/>
          <w:sz w:val="32"/>
          <w:szCs w:val="32"/>
        </w:rPr>
        <w:t>【裁量标准】</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楷体" w:hAnsi="楷体" w:eastAsia="楷体" w:cs="楷体"/>
          <w:sz w:val="32"/>
          <w:szCs w:val="32"/>
        </w:rPr>
        <w:t>（一）一般违法行为的表现情形：</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人均参赌金额在200元以上不满400元，或当场赌资在800元以上不满1600元，或赌局中输赢达到50元以上不满100元，处500元以下罚款。</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人均参赌金额在400元以上不满1000元，或当场赌资在1600元以上不满4000元，或赌局中输赢达到100元以上不满200元，处5日以下拘留。</w:t>
      </w:r>
    </w:p>
    <w:p>
      <w:pPr>
        <w:widowControl w:val="0"/>
        <w:wordWrap/>
        <w:adjustRightInd/>
        <w:snapToGrid/>
        <w:spacing w:line="600" w:lineRule="exact"/>
        <w:ind w:left="0" w:lef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（二）有下列情形之一的，构成情节严重：</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人均参赌金额在1000元以上，或当场赌资在4000元以上的，或赌局中输赢达到200元以上的。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在公共场所或者公共交通工具上赌博的；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利用互联网、移动终端设备等投注赌博的；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国家工作人员参与赌博的；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以欺骗方式，诱人参赌或诱骗、教唆未成年人赌博的；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eastAsia="仿宋_GB2312"/>
          <w:sz w:val="32"/>
          <w:szCs w:val="32"/>
        </w:rPr>
        <w:t>以“牌九”“押宝”“同花顺”“推饼”等方式赌博的；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多次参与赌博的；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一年内曾因赌博或者为赌博提供条件受过处罚的；</w:t>
      </w:r>
    </w:p>
    <w:p>
      <w:pPr>
        <w:widowControl w:val="0"/>
        <w:wordWrap/>
        <w:adjustRightInd/>
        <w:snapToGrid/>
        <w:spacing w:line="600" w:lineRule="exact"/>
        <w:ind w:left="0" w:lef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val="en-US" w:eastAsia="zh-CN"/>
        </w:rPr>
        <w:t>.</w:t>
      </w:r>
      <w:r>
        <w:rPr>
          <w:rFonts w:hint="eastAsia" w:ascii="仿宋_GB2312" w:eastAsia="仿宋_GB2312"/>
          <w:sz w:val="32"/>
          <w:szCs w:val="32"/>
        </w:rPr>
        <w:t>其他情节严重的情形。</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sectPr>
      <w:footerReference r:id="rId4" w:type="default"/>
      <w:footerReference r:id="rId5"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rPr>
      <w:rFonts w:eastAsia="仿宋_GB2312"/>
      <w:sz w:val="32"/>
    </w:rPr>
  </w:style>
  <w:style w:type="paragraph" w:customStyle="1" w:styleId="2">
    <w:name w:val="Normal Indent"/>
    <w:basedOn w:val="1"/>
    <w:pPr>
      <w:widowControl/>
      <w:spacing w:line="351" w:lineRule="atLeast"/>
      <w:ind w:firstLine="420" w:firstLineChars="200"/>
      <w:textAlignment w:val="baseline"/>
    </w:pPr>
    <w:rPr>
      <w:color w:val="000000"/>
      <w:kern w:val="0"/>
      <w:szCs w:val="20"/>
      <w:u w:val="none" w:color="000000"/>
    </w:rPr>
  </w:style>
  <w:style w:type="paragraph" w:styleId="3">
    <w:name w:val="footer"/>
    <w:basedOn w:val="1"/>
    <w:link w:val="24"/>
    <w:pPr>
      <w:tabs>
        <w:tab w:val="center" w:pos="4153"/>
        <w:tab w:val="right" w:pos="8306"/>
      </w:tabs>
      <w:snapToGrid w:val="0"/>
      <w:jc w:val="left"/>
    </w:pPr>
    <w:rPr>
      <w:rFonts w:cs="Times New Roman"/>
      <w:sz w:val="18"/>
      <w:szCs w:val="18"/>
    </w:rPr>
  </w:style>
  <w:style w:type="paragraph" w:styleId="4">
    <w:name w:val="header"/>
    <w:basedOn w:val="1"/>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rPr>
      <w:rFonts w:eastAsia="仿宋_GB2312"/>
      <w:sz w:val="32"/>
    </w:rPr>
  </w:style>
  <w:style w:type="character" w:styleId="7">
    <w:name w:val="Hyperlink"/>
    <w:basedOn w:val="5"/>
    <w:rPr>
      <w:rFonts w:cs="Times New Roman"/>
      <w:color w:val="363636"/>
      <w:u w:val="none"/>
    </w:rPr>
  </w:style>
  <w:style w:type="paragraph" w:customStyle="1" w:styleId="8">
    <w:name w:val="toa heading"/>
    <w:basedOn w:val="1"/>
    <w:next w:val="1"/>
    <w:pPr>
      <w:spacing w:before="120"/>
    </w:pPr>
    <w:rPr>
      <w:rFonts w:ascii="Cambria" w:hAnsi="Cambria" w:cs="黑体"/>
      <w:sz w:val="24"/>
    </w:rPr>
  </w:style>
  <w:style w:type="paragraph" w:customStyle="1" w:styleId="9">
    <w:name w:val="Body Text Indent"/>
    <w:basedOn w:val="1"/>
    <w:link w:val="27"/>
    <w:pPr>
      <w:spacing w:after="120"/>
      <w:ind w:left="420" w:leftChars="200"/>
    </w:pPr>
    <w:rPr>
      <w:szCs w:val="24"/>
    </w:rPr>
  </w:style>
  <w:style w:type="paragraph" w:customStyle="1" w:styleId="10">
    <w:name w:val="Date"/>
    <w:basedOn w:val="1"/>
    <w:next w:val="1"/>
    <w:link w:val="26"/>
    <w:pPr>
      <w:ind w:left="100" w:leftChars="2500"/>
    </w:pPr>
    <w:rPr>
      <w:rFonts w:cs="Times New Roman"/>
      <w:sz w:val="24"/>
      <w:szCs w:val="24"/>
    </w:rPr>
  </w:style>
  <w:style w:type="paragraph" w:customStyle="1" w:styleId="11">
    <w:name w:val=" Char Char Char Char"/>
    <w:basedOn w:val="12"/>
    <w:pPr>
      <w:widowControl/>
      <w:spacing w:after="160" w:line="240" w:lineRule="exact"/>
      <w:jc w:val="left"/>
    </w:pPr>
    <w:rPr>
      <w:rFonts w:eastAsia="仿宋_GB2312"/>
      <w:sz w:val="32"/>
    </w:rPr>
  </w:style>
  <w:style w:type="paragraph" w:customStyle="1" w:styleId="12">
    <w:name w:val="正文 New New"/>
    <w:pPr>
      <w:widowControl w:val="0"/>
      <w:jc w:val="both"/>
    </w:pPr>
    <w:rPr>
      <w:rFonts w:ascii="Times New Roman" w:hAnsi="Times New Roman" w:eastAsia="宋体" w:cs="Times New Roman"/>
      <w:kern w:val="2"/>
      <w:sz w:val="21"/>
      <w:lang w:val="en-US" w:eastAsia="zh-CN" w:bidi="ar-SA"/>
    </w:rPr>
  </w:style>
  <w:style w:type="paragraph" w:customStyle="1" w:styleId="13">
    <w:name w:val="Char"/>
    <w:basedOn w:val="1"/>
    <w:rPr>
      <w:rFonts w:ascii="Tahoma" w:hAnsi="Tahoma"/>
      <w:sz w:val="24"/>
      <w:szCs w:val="20"/>
    </w:rPr>
  </w:style>
  <w:style w:type="paragraph" w:customStyle="1" w:styleId="14">
    <w:name w:val="_Style 2"/>
    <w:basedOn w:val="1"/>
    <w:next w:val="1"/>
    <w:pPr>
      <w:pBdr>
        <w:bottom w:val="single" w:color="auto" w:sz="6" w:space="1"/>
      </w:pBdr>
      <w:jc w:val="center"/>
    </w:pPr>
    <w:rPr>
      <w:rFonts w:ascii="Arial"/>
      <w:vanish/>
      <w:sz w:val="16"/>
    </w:rPr>
  </w:style>
  <w:style w:type="paragraph" w:customStyle="1" w:styleId="15">
    <w:name w:val="_Style 3"/>
    <w:basedOn w:val="1"/>
    <w:next w:val="1"/>
    <w:pPr>
      <w:pBdr>
        <w:top w:val="single" w:color="auto" w:sz="6" w:space="1"/>
      </w:pBdr>
      <w:jc w:val="center"/>
    </w:pPr>
    <w:rPr>
      <w:rFonts w:ascii="Arial"/>
      <w:vanish/>
      <w:sz w:val="16"/>
    </w:rPr>
  </w:style>
  <w:style w:type="paragraph" w:customStyle="1" w:styleId="16">
    <w:name w:val="0"/>
    <w:basedOn w:val="1"/>
    <w:pPr>
      <w:widowControl/>
      <w:snapToGrid w:val="0"/>
    </w:pPr>
    <w:rPr>
      <w:kern w:val="0"/>
      <w:szCs w:val="21"/>
    </w:rPr>
  </w:style>
  <w:style w:type="paragraph" w:customStyle="1" w:styleId="17">
    <w:name w:val="Normal Indent1"/>
    <w:basedOn w:val="1"/>
    <w:pPr>
      <w:widowControl/>
      <w:spacing w:line="351" w:lineRule="atLeast"/>
      <w:ind w:firstLine="420" w:firstLineChars="200"/>
    </w:pPr>
    <w:rPr>
      <w:rFonts w:ascii="Calibri" w:hAnsi="Calibri"/>
      <w:color w:val="000000"/>
      <w:kern w:val="0"/>
      <w:szCs w:val="20"/>
      <w:u w:val="none" w:color="000000"/>
    </w:rPr>
  </w:style>
  <w:style w:type="paragraph" w:customStyle="1" w:styleId="18">
    <w:name w:val="p0"/>
    <w:basedOn w:val="1"/>
    <w:pPr>
      <w:widowControl/>
    </w:pPr>
    <w:rPr>
      <w:rFonts w:ascii="Calibri" w:hAnsi="Calibri" w:eastAsia="宋体" w:cs="黑体"/>
      <w:kern w:val="0"/>
      <w:szCs w:val="21"/>
    </w:rPr>
  </w:style>
  <w:style w:type="paragraph" w:customStyle="1" w:styleId="19">
    <w:name w:val="正文 New"/>
    <w:next w:val="20"/>
    <w:pPr>
      <w:widowControl w:val="0"/>
      <w:jc w:val="both"/>
    </w:pPr>
    <w:rPr>
      <w:rFonts w:ascii="Times New Roman" w:hAnsi="Times New Roman" w:eastAsia="宋体" w:cs="Times New Roman"/>
      <w:kern w:val="2"/>
      <w:sz w:val="21"/>
      <w:szCs w:val="24"/>
      <w:lang w:val="en-US" w:eastAsia="zh-CN"/>
    </w:rPr>
  </w:style>
  <w:style w:type="paragraph" w:customStyle="1" w:styleId="20">
    <w:name w:val="引文目录标题 New"/>
    <w:basedOn w:val="19"/>
    <w:next w:val="19"/>
    <w:pPr>
      <w:spacing w:before="120" w:beforeAutospacing="0"/>
    </w:pPr>
    <w:rPr>
      <w:rFonts w:ascii="Arial" w:hAnsi="Arial"/>
      <w:sz w:val="24"/>
    </w:rPr>
  </w:style>
  <w:style w:type="paragraph" w:customStyle="1" w:styleId="21">
    <w:name w:val="正文 New New New New New New New New"/>
    <w:pPr>
      <w:widowControl w:val="0"/>
      <w:jc w:val="both"/>
    </w:pPr>
    <w:rPr>
      <w:rFonts w:ascii="Calibri" w:hAnsi="Calibri" w:eastAsia="宋体" w:cs="Times New Roman"/>
      <w:kern w:val="2"/>
      <w:sz w:val="21"/>
      <w:szCs w:val="22"/>
      <w:lang w:val="en-US" w:eastAsia="zh-CN"/>
    </w:rPr>
  </w:style>
  <w:style w:type="paragraph" w:customStyle="1" w:styleId="22">
    <w:name w:val="正文 New New New New"/>
    <w:pPr>
      <w:widowControl w:val="0"/>
      <w:jc w:val="both"/>
    </w:pPr>
    <w:rPr>
      <w:rFonts w:ascii="Times New Roman" w:hAnsi="Times New Roman" w:eastAsia="宋体" w:cs="黑体"/>
      <w:kern w:val="2"/>
      <w:sz w:val="21"/>
      <w:szCs w:val="24"/>
      <w:lang w:val="en-US" w:eastAsia="zh-CN" w:bidi="ar-SA"/>
    </w:rPr>
  </w:style>
  <w:style w:type="character" w:customStyle="1" w:styleId="23">
    <w:name w:val="page number"/>
    <w:basedOn w:val="5"/>
    <w:rPr>
      <w:rFonts w:cs="Times New Roman"/>
    </w:rPr>
  </w:style>
  <w:style w:type="character" w:customStyle="1" w:styleId="24">
    <w:name w:val="Footer Char"/>
    <w:basedOn w:val="5"/>
    <w:link w:val="3"/>
    <w:semiHidden/>
    <w:rPr>
      <w:rFonts w:cs="Times New Roman"/>
      <w:sz w:val="18"/>
      <w:szCs w:val="18"/>
    </w:rPr>
  </w:style>
  <w:style w:type="character" w:customStyle="1" w:styleId="25">
    <w:name w:val="font21"/>
    <w:basedOn w:val="5"/>
    <w:rPr>
      <w:rFonts w:ascii="宋体" w:hAnsi="宋体" w:eastAsia="宋体" w:cs="宋体"/>
      <w:color w:val="000000"/>
      <w:sz w:val="18"/>
      <w:szCs w:val="18"/>
      <w:u w:val="none"/>
    </w:rPr>
  </w:style>
  <w:style w:type="character" w:customStyle="1" w:styleId="26">
    <w:name w:val="Date Char Char"/>
    <w:basedOn w:val="5"/>
    <w:link w:val="10"/>
    <w:semiHidden/>
    <w:rPr>
      <w:rFonts w:cs="Times New Roman"/>
      <w:sz w:val="24"/>
      <w:szCs w:val="24"/>
    </w:rPr>
  </w:style>
  <w:style w:type="character" w:customStyle="1" w:styleId="27">
    <w:name w:val="Body Text Indent Char Char"/>
    <w:basedOn w:val="5"/>
    <w:link w:val="9"/>
    <w:semiHidden/>
    <w:rPr>
      <w:szCs w:val="24"/>
    </w:rPr>
  </w:style>
  <w:style w:type="character" w:customStyle="1" w:styleId="28">
    <w:name w:val="页码 New"/>
    <w:basedOn w:val="5"/>
    <w:rPr/>
  </w:style>
  <w:style w:type="character" w:customStyle="1" w:styleId="29">
    <w:name w:val="NormalCharacter"/>
    <w:rPr>
      <w:rFonts w:ascii="Calibri" w:hAnsi="Calibri" w:eastAsia="宋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98</Words>
  <Characters>560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2019-06-14T09:36:00Z</dcterms:created>
  <dc:creator>Administrator</dc:creator>
  <cp:lastPrinted>2019-11-28T08:28:08Z</cp:lastPrinted>
  <dcterms:modified xsi:type="dcterms:W3CDTF">2019-11-28T08:33:15Z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