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r>
        <w:rPr>
          <w:rFonts w:hint="eastAsia" w:ascii="文星简大标宋" w:hAnsi="文星简大标宋" w:eastAsia="文星简大标宋"/>
          <w:sz w:val="56"/>
          <w:szCs w:val="24"/>
          <w:lang w:eastAsia="zh-CN"/>
        </w:rPr>
        <w:t>兴唐</w:t>
      </w:r>
      <w:r>
        <w:rPr>
          <w:rFonts w:hint="eastAsia" w:ascii="文星简大标宋" w:hAnsi="文星简大标宋" w:eastAsia="文星简大标宋"/>
          <w:sz w:val="56"/>
          <w:szCs w:val="24"/>
        </w:rPr>
        <w:t>街道试点领域基层政务公开标准目录汇编</w:t>
      </w: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bookmarkStart w:id="36" w:name="_GoBack"/>
      <w:bookmarkEnd w:id="36"/>
    </w:p>
    <w:p>
      <w:pPr>
        <w:jc w:val="center"/>
        <w:rPr>
          <w:rFonts w:ascii="宋体" w:hAnsi="宋体" w:cs="宋体"/>
          <w:sz w:val="32"/>
          <w:szCs w:val="15"/>
        </w:rPr>
      </w:pPr>
      <w:r>
        <w:rPr>
          <w:rFonts w:ascii="文星简大标宋" w:hAnsi="文星简大标宋" w:eastAsia="文星简大标宋"/>
          <w:sz w:val="32"/>
          <w:szCs w:val="15"/>
        </w:rPr>
        <w:t>2020</w:t>
      </w:r>
      <w:r>
        <w:rPr>
          <w:rFonts w:hint="eastAsia" w:ascii="文星简大标宋" w:hAnsi="文星简大标宋" w:eastAsia="文星简大标宋"/>
          <w:sz w:val="32"/>
          <w:szCs w:val="15"/>
        </w:rPr>
        <w:t>年11</w:t>
      </w:r>
      <w:r>
        <w:rPr>
          <w:rFonts w:hint="eastAsia" w:ascii="宋体" w:hAnsi="宋体" w:cs="宋体"/>
          <w:sz w:val="32"/>
          <w:szCs w:val="15"/>
        </w:rPr>
        <w:t>月</w:t>
      </w: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40"/>
          <w:szCs w:val="18"/>
        </w:rPr>
      </w:pPr>
    </w:p>
    <w:p>
      <w:pPr>
        <w:jc w:val="center"/>
        <w:rPr>
          <w:b/>
          <w:bCs/>
          <w:sz w:val="52"/>
          <w:szCs w:val="48"/>
        </w:rPr>
      </w:pPr>
      <w:r>
        <w:rPr>
          <w:rFonts w:ascii="宋体" w:hAnsi="宋体"/>
          <w:b/>
          <w:bCs/>
          <w:sz w:val="52"/>
          <w:szCs w:val="48"/>
        </w:rPr>
        <w:t>目录</w:t>
      </w:r>
    </w:p>
    <w:p>
      <w:pPr>
        <w:pStyle w:val="32"/>
        <w:tabs>
          <w:tab w:val="right" w:leader="dot" w:pos="13890"/>
        </w:tabs>
        <w:rPr>
          <w:sz w:val="22"/>
          <w:szCs w:val="22"/>
        </w:rPr>
      </w:pPr>
      <w:r>
        <w:rPr>
          <w:rFonts w:hint="eastAsia" w:ascii="宋体" w:hAnsi="宋体" w:cs="宋体"/>
          <w:sz w:val="40"/>
          <w:szCs w:val="18"/>
        </w:rPr>
        <w:fldChar w:fldCharType="begin"/>
      </w:r>
      <w:r>
        <w:rPr>
          <w:rFonts w:hint="eastAsia" w:ascii="宋体" w:hAnsi="宋体" w:cs="宋体"/>
          <w:sz w:val="40"/>
          <w:szCs w:val="18"/>
        </w:rPr>
        <w:instrText xml:space="preserve">TOC \o "1-1" \h \u </w:instrText>
      </w:r>
      <w:r>
        <w:rPr>
          <w:rFonts w:hint="eastAsia" w:ascii="宋体" w:hAnsi="宋体" w:cs="宋体"/>
          <w:sz w:val="40"/>
          <w:szCs w:val="18"/>
        </w:rPr>
        <w:fldChar w:fldCharType="separate"/>
      </w:r>
      <w:r>
        <w:fldChar w:fldCharType="begin"/>
      </w:r>
      <w:r>
        <w:instrText xml:space="preserve"> HYPERLINK \l "_Toc10195"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城乡规划领域基层政务公开标准目录</w:t>
      </w:r>
      <w:r>
        <w:rPr>
          <w:sz w:val="22"/>
          <w:szCs w:val="22"/>
        </w:rPr>
        <w:tab/>
      </w:r>
      <w:r>
        <w:rPr>
          <w:sz w:val="22"/>
          <w:szCs w:val="22"/>
        </w:rPr>
        <w:fldChar w:fldCharType="begin"/>
      </w:r>
      <w:r>
        <w:rPr>
          <w:sz w:val="22"/>
          <w:szCs w:val="22"/>
        </w:rPr>
        <w:instrText xml:space="preserve"> PAGEREF _Toc10195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"_Toc7572"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农村集体土地征收基层政务公开标准目录</w:t>
      </w:r>
      <w:r>
        <w:rPr>
          <w:sz w:val="22"/>
          <w:szCs w:val="22"/>
        </w:rPr>
        <w:tab/>
      </w:r>
      <w:r>
        <w:rPr>
          <w:sz w:val="22"/>
          <w:szCs w:val="22"/>
        </w:rPr>
        <w:fldChar w:fldCharType="begin"/>
      </w:r>
      <w:r>
        <w:rPr>
          <w:sz w:val="22"/>
          <w:szCs w:val="22"/>
        </w:rPr>
        <w:instrText xml:space="preserve"> PAGEREF _Toc7572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"_Toc30113"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ascii="Calibri" w:hAnsi="Calibri"/>
          <w:bCs/>
          <w:kern w:val="44"/>
          <w:sz w:val="22"/>
          <w:szCs w:val="52"/>
        </w:rPr>
        <w:t>救灾领域基层政务公开标准目录</w:t>
      </w:r>
      <w:r>
        <w:rPr>
          <w:sz w:val="22"/>
          <w:szCs w:val="22"/>
        </w:rPr>
        <w:tab/>
      </w:r>
      <w:r>
        <w:rPr>
          <w:sz w:val="22"/>
          <w:szCs w:val="22"/>
        </w:rPr>
        <w:fldChar w:fldCharType="begin"/>
      </w:r>
      <w:r>
        <w:rPr>
          <w:sz w:val="22"/>
          <w:szCs w:val="22"/>
        </w:rPr>
        <w:instrText xml:space="preserve"> PAGEREF _Toc30113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"_Toc29120"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农村危房改造领域基层政务公开标准目录</w:t>
      </w:r>
      <w:r>
        <w:rPr>
          <w:sz w:val="22"/>
          <w:szCs w:val="22"/>
        </w:rPr>
        <w:tab/>
      </w:r>
      <w:r>
        <w:rPr>
          <w:sz w:val="22"/>
          <w:szCs w:val="22"/>
        </w:rPr>
        <w:fldChar w:fldCharType="begin"/>
      </w:r>
      <w:r>
        <w:rPr>
          <w:sz w:val="22"/>
          <w:szCs w:val="22"/>
        </w:rPr>
        <w:instrText xml:space="preserve"> PAGEREF _Toc29120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"_Toc8195"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公共文化服务领域基层政务公开标准目录</w:t>
      </w:r>
      <w:r>
        <w:rPr>
          <w:sz w:val="22"/>
          <w:szCs w:val="22"/>
        </w:rPr>
        <w:tab/>
      </w:r>
      <w:r>
        <w:rPr>
          <w:sz w:val="22"/>
          <w:szCs w:val="22"/>
        </w:rPr>
        <w:fldChar w:fldCharType="begin"/>
      </w:r>
      <w:r>
        <w:rPr>
          <w:sz w:val="22"/>
          <w:szCs w:val="22"/>
        </w:rPr>
        <w:instrText xml:space="preserve"> PAGEREF _Toc8195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"_Toc24326"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公共法律服务领域基层政务公开标准目录</w:t>
      </w:r>
      <w:r>
        <w:rPr>
          <w:sz w:val="22"/>
          <w:szCs w:val="22"/>
        </w:rPr>
        <w:tab/>
      </w:r>
      <w:r>
        <w:rPr>
          <w:sz w:val="22"/>
          <w:szCs w:val="22"/>
        </w:rPr>
        <w:fldChar w:fldCharType="begin"/>
      </w:r>
      <w:r>
        <w:rPr>
          <w:sz w:val="22"/>
          <w:szCs w:val="22"/>
        </w:rPr>
        <w:instrText xml:space="preserve"> PAGEREF _Toc24326 </w:instrText>
      </w:r>
      <w:r>
        <w:rPr>
          <w:sz w:val="22"/>
          <w:szCs w:val="22"/>
        </w:rPr>
        <w:fldChar w:fldCharType="separate"/>
      </w:r>
      <w:r>
        <w:rPr>
          <w:sz w:val="22"/>
          <w:szCs w:val="22"/>
        </w:rPr>
        <w:t>18</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"_Toc5288"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社会救助领域基层政务公开标准目录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0</w:t>
      </w:r>
    </w:p>
    <w:p>
      <w:pPr>
        <w:pStyle w:val="32"/>
        <w:tabs>
          <w:tab w:val="right" w:leader="dot" w:pos="13890"/>
        </w:tabs>
        <w:rPr>
          <w:sz w:val="22"/>
          <w:szCs w:val="22"/>
        </w:rPr>
      </w:pPr>
      <w:r>
        <w:fldChar w:fldCharType="begin"/>
      </w:r>
      <w:r>
        <w:instrText xml:space="preserve"> HYPERLINK \l "_Toc9171"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养老服务领域基层政务公开标准目录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4</w:t>
      </w:r>
    </w:p>
    <w:p>
      <w:pPr>
        <w:pStyle w:val="32"/>
        <w:tabs>
          <w:tab w:val="right" w:leader="dot" w:pos="13890"/>
        </w:tabs>
        <w:rPr>
          <w:sz w:val="22"/>
          <w:szCs w:val="22"/>
        </w:rPr>
      </w:pPr>
      <w:r>
        <w:fldChar w:fldCharType="begin"/>
      </w:r>
      <w:r>
        <w:instrText xml:space="preserve"> HYPERLINK \l "_Toc13120"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食品药品监管领域基层政务公开标准目录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"_Toc25634"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就业领域基层政务公开目录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"_Toc12847"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社会保险领域基层政务公开目录</w:t>
      </w:r>
      <w:r>
        <w:rPr>
          <w:sz w:val="22"/>
          <w:szCs w:val="22"/>
        </w:rPr>
        <w:tab/>
      </w:r>
      <w:r>
        <w:rPr>
          <w:rFonts w:hint="eastAsia"/>
          <w:sz w:val="22"/>
          <w:szCs w:val="22"/>
        </w:rPr>
        <w:t>4</w:t>
      </w:r>
      <w:r>
        <w:rPr>
          <w:rFonts w:hint="eastAsia"/>
          <w:sz w:val="22"/>
          <w:szCs w:val="22"/>
        </w:rPr>
        <w:fldChar w:fldCharType="end"/>
      </w:r>
      <w:r>
        <w:rPr>
          <w:rFonts w:hint="eastAsia" w:ascii="宋体" w:hAnsi="宋体" w:cs="宋体"/>
          <w:sz w:val="22"/>
          <w:szCs w:val="18"/>
        </w:rPr>
        <w:t>1</w:t>
      </w:r>
    </w:p>
    <w:p>
      <w:pPr>
        <w:pStyle w:val="32"/>
        <w:tabs>
          <w:tab w:val="right" w:leader="dot" w:pos="13890"/>
        </w:tabs>
        <w:rPr>
          <w:sz w:val="22"/>
          <w:szCs w:val="22"/>
        </w:rPr>
      </w:pPr>
      <w:r>
        <w:fldChar w:fldCharType="begin"/>
      </w:r>
      <w:r>
        <w:instrText xml:space="preserve"> HYPERLINK \l "_Toc27488"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ascii="Calibri" w:hAnsi="Calibri"/>
          <w:bCs/>
          <w:kern w:val="44"/>
          <w:sz w:val="22"/>
          <w:szCs w:val="52"/>
        </w:rPr>
        <w:t>户籍管理领域基层政务公开标准目录</w:t>
      </w:r>
      <w:r>
        <w:rPr>
          <w:sz w:val="22"/>
          <w:szCs w:val="22"/>
        </w:rPr>
        <w:tab/>
      </w:r>
      <w:r>
        <w:rPr>
          <w:rFonts w:hint="eastAsia"/>
          <w:sz w:val="22"/>
          <w:szCs w:val="22"/>
        </w:rPr>
        <w:t>7</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"_Toc17778"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义务教育领域基层政务公开标准目录</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"_Toc5943" </w:instrText>
      </w:r>
      <w:r>
        <w:fldChar w:fldCharType="separate"/>
      </w:r>
      <w:r>
        <w:rPr>
          <w:rFonts w:hint="eastAsia" w:ascii="宋体" w:hAnsi="宋体" w:cs="宋体"/>
          <w:sz w:val="22"/>
          <w:szCs w:val="18"/>
          <w:lang w:eastAsia="zh-CN"/>
        </w:rPr>
        <w:t>兴唐</w:t>
      </w:r>
      <w:r>
        <w:rPr>
          <w:rFonts w:hint="eastAsia" w:ascii="宋体" w:hAnsi="宋体" w:cs="宋体"/>
          <w:sz w:val="22"/>
          <w:szCs w:val="18"/>
        </w:rPr>
        <w:t>街道</w:t>
      </w:r>
      <w:r>
        <w:rPr>
          <w:rFonts w:hint="eastAsia"/>
          <w:sz w:val="22"/>
          <w:szCs w:val="22"/>
        </w:rPr>
        <w:t>卫生健康领域基层政务公开标准目录（试行）</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7</w:t>
      </w:r>
    </w:p>
    <w:p>
      <w:pPr>
        <w:jc w:val="center"/>
        <w:rPr>
          <w:rFonts w:ascii="宋体" w:hAnsi="宋体" w:cs="宋体"/>
          <w:sz w:val="32"/>
          <w:szCs w:val="15"/>
        </w:rPr>
        <w:sectPr>
          <w:footerReference r:id="rId3" w:type="default"/>
          <w:pgSz w:w="16838" w:h="11906" w:orient="landscape"/>
          <w:pgMar w:top="1474" w:right="1247" w:bottom="1474" w:left="1701" w:header="1565" w:footer="1304" w:gutter="0"/>
          <w:cols w:space="720" w:num="1"/>
          <w:titlePg/>
          <w:docGrid w:linePitch="579" w:charSpace="0"/>
        </w:sectPr>
      </w:pPr>
      <w:r>
        <w:rPr>
          <w:rFonts w:hint="eastAsia" w:ascii="宋体" w:hAnsi="宋体" w:cs="宋体"/>
          <w:sz w:val="24"/>
          <w:szCs w:val="18"/>
        </w:rPr>
        <w:fldChar w:fldCharType="end"/>
      </w:r>
    </w:p>
    <w:p>
      <w:pPr>
        <w:pStyle w:val="2"/>
        <w:spacing w:before="0" w:after="0" w:line="240" w:lineRule="auto"/>
      </w:pPr>
      <w:bookmarkStart w:id="0" w:name="_Toc10195"/>
      <w:r>
        <w:rPr>
          <w:rFonts w:hint="eastAsia"/>
          <w:lang w:eastAsia="zh-CN"/>
        </w:rPr>
        <w:t>兴唐</w:t>
      </w:r>
      <w:r>
        <w:rPr>
          <w:rFonts w:hint="eastAsia"/>
        </w:rPr>
        <w:t>街道城乡规划领域基层政务公开标准目录</w:t>
      </w:r>
      <w:bookmarkEnd w:id="0"/>
    </w:p>
    <w:tbl>
      <w:tblPr>
        <w:tblStyle w:val="12"/>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序</w:t>
            </w:r>
          </w:p>
          <w:p>
            <w:pPr>
              <w:widowControl/>
              <w:spacing w:line="300" w:lineRule="exact"/>
              <w:jc w:val="center"/>
              <w:rPr>
                <w:rFonts w:ascii="宋体"/>
                <w:b/>
                <w:kern w:val="0"/>
                <w:sz w:val="18"/>
                <w:szCs w:val="18"/>
              </w:rPr>
            </w:pPr>
            <w:r>
              <w:rPr>
                <w:rFonts w:hint="eastAsia" w:ascii="宋体" w:hAns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公开内容</w:t>
            </w:r>
          </w:p>
          <w:p>
            <w:pPr>
              <w:widowControl/>
              <w:spacing w:line="300" w:lineRule="exact"/>
              <w:jc w:val="center"/>
              <w:rPr>
                <w:rFonts w:ascii="宋体"/>
                <w:b/>
                <w:kern w:val="0"/>
                <w:sz w:val="18"/>
                <w:szCs w:val="18"/>
              </w:rPr>
            </w:pPr>
            <w:r>
              <w:rPr>
                <w:rFonts w:hint="eastAsia" w:ascii="宋体" w:hAns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w:t>
            </w:r>
          </w:p>
          <w:p>
            <w:pPr>
              <w:widowControl/>
              <w:spacing w:line="300" w:lineRule="exact"/>
              <w:jc w:val="center"/>
              <w:rPr>
                <w:rFonts w:ascii="宋体"/>
                <w:b/>
                <w:kern w:val="0"/>
                <w:sz w:val="18"/>
                <w:szCs w:val="18"/>
              </w:rPr>
            </w:pPr>
            <w:r>
              <w:rPr>
                <w:rFonts w:hint="eastAsia" w:ascii="宋体" w:hAns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00" w:lineRule="exact"/>
              <w:jc w:val="left"/>
              <w:rPr>
                <w:rFonts w:ascii="宋体"/>
                <w:b/>
                <w:kern w:val="0"/>
                <w:sz w:val="18"/>
                <w:szCs w:val="18"/>
              </w:rPr>
            </w:pPr>
          </w:p>
        </w:tc>
        <w:tc>
          <w:tcPr>
            <w:tcW w:w="64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一级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二级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1366" w:type="dxa"/>
            <w:vMerge w:val="continue"/>
            <w:vAlign w:val="center"/>
          </w:tcPr>
          <w:p>
            <w:pPr>
              <w:widowControl/>
              <w:spacing w:line="300" w:lineRule="exact"/>
              <w:jc w:val="left"/>
              <w:rPr>
                <w:rFonts w:ascii="宋体"/>
                <w:b/>
                <w:kern w:val="0"/>
                <w:sz w:val="18"/>
                <w:szCs w:val="18"/>
              </w:rPr>
            </w:pPr>
          </w:p>
        </w:tc>
        <w:tc>
          <w:tcPr>
            <w:tcW w:w="2067" w:type="dxa"/>
            <w:vMerge w:val="continue"/>
            <w:vAlign w:val="center"/>
          </w:tcPr>
          <w:p>
            <w:pPr>
              <w:widowControl/>
              <w:spacing w:line="300" w:lineRule="exact"/>
              <w:jc w:val="left"/>
              <w:rPr>
                <w:rFonts w:ascii="宋体"/>
                <w:b/>
                <w:kern w:val="0"/>
                <w:sz w:val="18"/>
                <w:szCs w:val="18"/>
              </w:rPr>
            </w:pPr>
          </w:p>
        </w:tc>
        <w:tc>
          <w:tcPr>
            <w:tcW w:w="820" w:type="dxa"/>
            <w:vMerge w:val="continue"/>
            <w:vAlign w:val="center"/>
          </w:tcPr>
          <w:p>
            <w:pPr>
              <w:widowControl/>
              <w:spacing w:line="300" w:lineRule="exact"/>
              <w:jc w:val="left"/>
              <w:rPr>
                <w:rFonts w:ascii="宋体"/>
                <w:b/>
                <w:kern w:val="0"/>
                <w:sz w:val="18"/>
                <w:szCs w:val="18"/>
              </w:rPr>
            </w:pPr>
          </w:p>
        </w:tc>
        <w:tc>
          <w:tcPr>
            <w:tcW w:w="721" w:type="dxa"/>
            <w:vMerge w:val="continue"/>
            <w:vAlign w:val="center"/>
          </w:tcPr>
          <w:p>
            <w:pPr>
              <w:widowControl/>
              <w:spacing w:line="300" w:lineRule="exact"/>
              <w:jc w:val="left"/>
              <w:rPr>
                <w:rFonts w:ascii="宋体"/>
                <w:b/>
                <w:kern w:val="0"/>
                <w:sz w:val="18"/>
                <w:szCs w:val="18"/>
              </w:rPr>
            </w:pPr>
          </w:p>
        </w:tc>
        <w:tc>
          <w:tcPr>
            <w:tcW w:w="2603" w:type="dxa"/>
            <w:vMerge w:val="continue"/>
            <w:vAlign w:val="center"/>
          </w:tcPr>
          <w:p>
            <w:pPr>
              <w:widowControl/>
              <w:spacing w:line="300" w:lineRule="exact"/>
              <w:jc w:val="left"/>
              <w:rPr>
                <w:rFonts w:ascii="宋体"/>
                <w:b/>
                <w:kern w:val="0"/>
                <w:sz w:val="18"/>
                <w:szCs w:val="18"/>
              </w:rPr>
            </w:pPr>
          </w:p>
        </w:tc>
        <w:tc>
          <w:tcPr>
            <w:tcW w:w="78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特定</w:t>
            </w:r>
          </w:p>
          <w:p>
            <w:pPr>
              <w:widowControl/>
              <w:spacing w:line="300" w:lineRule="exact"/>
              <w:jc w:val="center"/>
              <w:rPr>
                <w:rFonts w:ascii="宋体"/>
                <w:b/>
                <w:kern w:val="0"/>
                <w:sz w:val="18"/>
                <w:szCs w:val="18"/>
              </w:rPr>
            </w:pPr>
            <w:r>
              <w:rPr>
                <w:rFonts w:hint="eastAsia" w:ascii="宋体" w:hAns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市</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县</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乡</w:t>
            </w:r>
          </w:p>
          <w:p>
            <w:pPr>
              <w:widowControl/>
              <w:spacing w:line="300" w:lineRule="exact"/>
              <w:jc w:val="center"/>
              <w:rPr>
                <w:rFonts w:asci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56" w:type="dxa"/>
            <w:noWrap/>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规划</w:t>
            </w:r>
          </w:p>
          <w:p>
            <w:pPr>
              <w:widowControl/>
              <w:spacing w:line="320" w:lineRule="exact"/>
              <w:jc w:val="center"/>
              <w:rPr>
                <w:rFonts w:ascii="宋体"/>
                <w:kern w:val="0"/>
                <w:sz w:val="18"/>
                <w:szCs w:val="18"/>
              </w:rPr>
            </w:pPr>
            <w:r>
              <w:rPr>
                <w:rFonts w:hint="eastAsia" w:ascii="宋体" w:hAns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hAns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320" w:lineRule="exact"/>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320" w:lineRule="exact"/>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320" w:lineRule="exact"/>
              <w:rPr>
                <w:rFonts w:ascii="宋体"/>
                <w:kern w:val="0"/>
                <w:sz w:val="18"/>
                <w:szCs w:val="18"/>
              </w:rPr>
            </w:pPr>
            <w:r>
              <w:rPr>
                <w:rFonts w:hint="eastAsia" w:ascii="宋体" w:hAnsi="宋体"/>
                <w:kern w:val="0"/>
                <w:sz w:val="18"/>
                <w:szCs w:val="18"/>
              </w:rPr>
              <w:t>■公开查阅点■行政服务中心</w:t>
            </w:r>
          </w:p>
          <w:p>
            <w:pPr>
              <w:widowControl/>
              <w:spacing w:line="320" w:lineRule="exact"/>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320" w:lineRule="exact"/>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320" w:lineRule="exact"/>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hAnsi="宋体"/>
                <w:kern w:val="0"/>
                <w:sz w:val="18"/>
                <w:szCs w:val="18"/>
              </w:rPr>
            </w:pPr>
            <w:r>
              <w:rPr>
                <w:rFonts w:hint="eastAsia" w:ascii="宋体" w:hAnsi="宋体"/>
                <w:kern w:val="0"/>
                <w:sz w:val="18"/>
                <w:szCs w:val="18"/>
              </w:rPr>
              <w:t>2</w:t>
            </w:r>
          </w:p>
        </w:tc>
        <w:tc>
          <w:tcPr>
            <w:tcW w:w="645" w:type="dxa"/>
            <w:noWrap/>
            <w:vAlign w:val="center"/>
          </w:tcPr>
          <w:p>
            <w:pPr>
              <w:widowControl/>
              <w:jc w:val="center"/>
              <w:rPr>
                <w:rFonts w:ascii="宋体" w:hAnsi="宋体"/>
                <w:kern w:val="0"/>
                <w:sz w:val="18"/>
                <w:szCs w:val="18"/>
              </w:rPr>
            </w:pPr>
          </w:p>
        </w:tc>
        <w:tc>
          <w:tcPr>
            <w:tcW w:w="850" w:type="dxa"/>
            <w:noWrap/>
            <w:vAlign w:val="center"/>
          </w:tcPr>
          <w:p>
            <w:pPr>
              <w:widowControl/>
              <w:jc w:val="center"/>
              <w:rPr>
                <w:rFonts w:ascii="宋体"/>
                <w:kern w:val="0"/>
                <w:sz w:val="18"/>
                <w:szCs w:val="18"/>
              </w:rPr>
            </w:pPr>
            <w:r>
              <w:rPr>
                <w:rFonts w:hint="eastAsia" w:ascii="宋体" w:hAns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jc w:val="center"/>
              <w:rPr>
                <w:rFonts w:ascii="宋体"/>
                <w:kern w:val="0"/>
                <w:sz w:val="18"/>
                <w:szCs w:val="18"/>
              </w:rPr>
            </w:pPr>
            <w:r>
              <w:rPr>
                <w:rFonts w:hint="eastAsia" w:ascii="宋体" w:hAnsi="宋体"/>
                <w:kern w:val="0"/>
                <w:sz w:val="18"/>
                <w:szCs w:val="18"/>
              </w:rPr>
              <w:t>乡、镇人民政府或市、县自然资源主管部门</w:t>
            </w:r>
          </w:p>
        </w:tc>
        <w:tc>
          <w:tcPr>
            <w:tcW w:w="2603" w:type="dxa"/>
            <w:noWrap/>
            <w:vAlign w:val="center"/>
          </w:tcPr>
          <w:p>
            <w:pPr>
              <w:widowControl/>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rPr>
                <w:rFonts w:ascii="宋体"/>
                <w:kern w:val="0"/>
                <w:sz w:val="18"/>
                <w:szCs w:val="18"/>
              </w:rPr>
            </w:pPr>
            <w:r>
              <w:rPr>
                <w:rFonts w:hint="eastAsia" w:ascii="宋体" w:hAnsi="宋体"/>
                <w:kern w:val="0"/>
                <w:sz w:val="18"/>
                <w:szCs w:val="18"/>
              </w:rPr>
              <w:t>□公开查阅点■行政服务中心</w:t>
            </w:r>
          </w:p>
          <w:p>
            <w:pPr>
              <w:widowControl/>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hAnsi="宋体"/>
                <w:kern w:val="0"/>
                <w:sz w:val="18"/>
                <w:szCs w:val="18"/>
              </w:rPr>
              <w:t>√</w:t>
            </w:r>
          </w:p>
        </w:tc>
      </w:tr>
    </w:tbl>
    <w:p>
      <w:pPr>
        <w:spacing w:line="200" w:lineRule="exact"/>
        <w:ind w:firstLine="640" w:firstLineChars="200"/>
        <w:rPr>
          <w:rFonts w:eastAsia="仿宋_GB2312"/>
          <w:sz w:val="32"/>
          <w:szCs w:val="32"/>
        </w:rPr>
      </w:pPr>
    </w:p>
    <w:p/>
    <w:p/>
    <w:p/>
    <w:p/>
    <w:p/>
    <w:p/>
    <w:p/>
    <w:p>
      <w:pPr>
        <w:pStyle w:val="2"/>
        <w:spacing w:before="0" w:after="0" w:line="240" w:lineRule="auto"/>
      </w:pPr>
      <w:bookmarkStart w:id="1" w:name="_Toc7572"/>
      <w:r>
        <w:rPr>
          <w:rFonts w:hint="eastAsia"/>
          <w:lang w:eastAsia="zh-CN"/>
        </w:rPr>
        <w:t>兴唐</w:t>
      </w:r>
      <w:r>
        <w:rPr>
          <w:rFonts w:hint="eastAsia"/>
        </w:rPr>
        <w:t>街道农村集体土地征收基层政务公开标准目录</w:t>
      </w:r>
      <w:bookmarkEnd w:id="1"/>
    </w:p>
    <w:tbl>
      <w:tblPr>
        <w:tblStyle w:val="12"/>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序</w:t>
            </w:r>
            <w:r>
              <w:rPr>
                <w:rFonts w:ascii="宋体" w:hAnsi="宋体" w:cs="仿宋_GB2312"/>
                <w:b/>
                <w:kern w:val="0"/>
                <w:sz w:val="18"/>
                <w:szCs w:val="18"/>
              </w:rPr>
              <w:t xml:space="preserve">  </w:t>
            </w:r>
            <w:r>
              <w:rPr>
                <w:rFonts w:hint="eastAsia" w:ascii="宋体" w:hAns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层级</w:t>
            </w:r>
          </w:p>
        </w:tc>
      </w:tr>
      <w:tr>
        <w:tblPrEx>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restart"/>
            <w:tcBorders>
              <w:top w:val="nil"/>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县</w:t>
            </w:r>
            <w:r>
              <w:rPr>
                <w:rFonts w:ascii="宋体" w:hAnsi="宋体" w:cs="仿宋_GB2312"/>
                <w:b/>
                <w:kern w:val="0"/>
                <w:sz w:val="18"/>
                <w:szCs w:val="18"/>
              </w:rPr>
              <w:t xml:space="preserve">   </w:t>
            </w:r>
            <w:r>
              <w:rPr>
                <w:rFonts w:hint="eastAsia" w:ascii="宋体" w:hAns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乡</w:t>
            </w:r>
            <w:r>
              <w:rPr>
                <w:rFonts w:ascii="宋体" w:hAnsi="宋体" w:cs="仿宋_GB2312"/>
                <w:b/>
                <w:kern w:val="0"/>
                <w:sz w:val="18"/>
                <w:szCs w:val="18"/>
              </w:rPr>
              <w:t xml:space="preserve">  </w:t>
            </w:r>
            <w:r>
              <w:rPr>
                <w:rFonts w:hint="eastAsia" w:ascii="宋体" w:hAnsi="宋体" w:cs="仿宋_GB2312"/>
                <w:b/>
                <w:kern w:val="0"/>
                <w:sz w:val="18"/>
                <w:szCs w:val="18"/>
              </w:rPr>
              <w:t>级</w:t>
            </w:r>
          </w:p>
        </w:tc>
      </w:tr>
      <w:tr>
        <w:tblPrEx>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continue"/>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491" w:type="dxa"/>
            <w:tcBorders>
              <w:top w:val="nil"/>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475"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8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4"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r>
      <w:tr>
        <w:tblPrEx>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自该信息形成或者变更之日起</w:t>
            </w:r>
            <w:r>
              <w:rPr>
                <w:rFonts w:ascii="宋体" w:hAnsi="宋体" w:cs="仿宋_GB2312"/>
                <w:kern w:val="0"/>
                <w:sz w:val="18"/>
                <w:szCs w:val="18"/>
              </w:rPr>
              <w:t>20</w:t>
            </w:r>
            <w:r>
              <w:rPr>
                <w:rFonts w:hint="eastAsia" w:ascii="宋体" w:hAns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hAnsi="宋体" w:cs="仿宋_GB2312"/>
                <w:spacing w:val="-6"/>
                <w:kern w:val="0"/>
                <w:sz w:val="18"/>
                <w:szCs w:val="18"/>
              </w:rPr>
              <w:t>《国务院关于深化改革严格土地管理的决定》（国发〔</w:t>
            </w:r>
            <w:r>
              <w:rPr>
                <w:rFonts w:ascii="宋体" w:hAnsi="宋体" w:cs="仿宋_GB2312"/>
                <w:spacing w:val="-6"/>
                <w:kern w:val="0"/>
                <w:sz w:val="18"/>
                <w:szCs w:val="18"/>
              </w:rPr>
              <w:t>2004</w:t>
            </w:r>
            <w:r>
              <w:rPr>
                <w:rFonts w:hint="eastAsia" w:ascii="宋体" w:hAnsi="宋体" w:cs="仿宋_GB2312"/>
                <w:spacing w:val="-6"/>
                <w:kern w:val="0"/>
                <w:sz w:val="18"/>
                <w:szCs w:val="18"/>
              </w:rPr>
              <w:t>〕</w:t>
            </w:r>
            <w:r>
              <w:rPr>
                <w:rFonts w:ascii="宋体" w:hAnsi="宋体" w:cs="仿宋_GB2312"/>
                <w:spacing w:val="-6"/>
                <w:kern w:val="0"/>
                <w:sz w:val="18"/>
                <w:szCs w:val="18"/>
              </w:rPr>
              <w:t>28</w:t>
            </w:r>
            <w:r>
              <w:rPr>
                <w:rFonts w:hint="eastAsia" w:ascii="宋体" w:hAns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2402"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r>
      <w:tr>
        <w:tblPrEx>
          <w:tblCellMar>
            <w:top w:w="0" w:type="dxa"/>
            <w:left w:w="0" w:type="dxa"/>
            <w:bottom w:w="0" w:type="dxa"/>
            <w:right w:w="0" w:type="dxa"/>
          </w:tblCellMar>
        </w:tblPrEx>
        <w:trPr>
          <w:trHeight w:val="1590" w:hRule="atLeast"/>
        </w:trPr>
        <w:tc>
          <w:tcPr>
            <w:tcW w:w="470" w:type="dxa"/>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p>
        </w:tc>
        <w:tc>
          <w:tcPr>
            <w:tcW w:w="628"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拟征收土地现状调查</w:t>
            </w:r>
          </w:p>
        </w:tc>
        <w:tc>
          <w:tcPr>
            <w:tcW w:w="2931"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土地勘测定界图件（涉及国家秘密的项目除外；图件应按有关法律法规规定予以技术处理。</w:t>
            </w:r>
          </w:p>
        </w:tc>
        <w:tc>
          <w:tcPr>
            <w:tcW w:w="10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《国务院关于深化改革严格土地管理的决定》（国发〔</w:t>
            </w:r>
            <w:r>
              <w:rPr>
                <w:rFonts w:ascii="宋体" w:hAnsi="宋体" w:cs="仿宋_GB2312"/>
                <w:kern w:val="0"/>
                <w:sz w:val="18"/>
                <w:szCs w:val="18"/>
              </w:rPr>
              <w:t>2004</w:t>
            </w:r>
            <w:r>
              <w:rPr>
                <w:rFonts w:hint="eastAsia" w:ascii="宋体" w:hAnsi="宋体" w:cs="仿宋_GB2312"/>
                <w:kern w:val="0"/>
                <w:sz w:val="18"/>
                <w:szCs w:val="18"/>
              </w:rPr>
              <w:t>〕</w:t>
            </w:r>
            <w:r>
              <w:rPr>
                <w:rFonts w:ascii="宋体" w:hAnsi="宋体" w:cs="仿宋_GB2312"/>
                <w:kern w:val="0"/>
                <w:sz w:val="18"/>
                <w:szCs w:val="18"/>
              </w:rPr>
              <w:t>28</w:t>
            </w:r>
            <w:r>
              <w:rPr>
                <w:rFonts w:hint="eastAsia" w:ascii="宋体" w:hAnsi="宋体" w:cs="仿宋_GB2312"/>
                <w:kern w:val="0"/>
                <w:sz w:val="18"/>
                <w:szCs w:val="18"/>
              </w:rPr>
              <w:t>号）</w:t>
            </w:r>
          </w:p>
        </w:tc>
        <w:tc>
          <w:tcPr>
            <w:tcW w:w="133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ind w:firstLine="360" w:firstLineChars="200"/>
              <w:textAlignment w:val="center"/>
              <w:rPr>
                <w:rFonts w:ascii="宋体" w:hAnsi="宋体" w:cs="仿宋_GB2312"/>
                <w:kern w:val="0"/>
                <w:sz w:val="18"/>
                <w:szCs w:val="18"/>
              </w:rPr>
            </w:pPr>
            <w:r>
              <w:rPr>
                <w:rFonts w:hint="eastAsia" w:ascii="宋体" w:hAnsi="宋体" w:cs="仿宋_GB2312"/>
                <w:kern w:val="0"/>
                <w:sz w:val="18"/>
                <w:szCs w:val="18"/>
              </w:rPr>
              <w:t>拟征收土地现状调查结束后</w:t>
            </w:r>
            <w:r>
              <w:rPr>
                <w:rFonts w:ascii="宋体" w:hAnsi="宋体" w:cs="仿宋_GB2312"/>
                <w:kern w:val="0"/>
                <w:sz w:val="18"/>
                <w:szCs w:val="18"/>
              </w:rPr>
              <w:t>5</w:t>
            </w:r>
            <w:r>
              <w:rPr>
                <w:rFonts w:hint="eastAsia" w:ascii="宋体" w:hAnsi="宋体" w:cs="仿宋_GB2312"/>
                <w:kern w:val="0"/>
                <w:sz w:val="18"/>
                <w:szCs w:val="18"/>
              </w:rPr>
              <w:t>个工作日内，在村公示栏公开。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 xml:space="preserve">    </w:t>
            </w: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60" w:lineRule="exact"/>
              <w:jc w:val="center"/>
              <w:rPr>
                <w:rFonts w:ascii="宋体" w:hAnsi="宋体" w:cs="仿宋_GB2312"/>
                <w:kern w:val="0"/>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000000" w:sz="8" w:space="0"/>
              <w:right w:val="single" w:color="000000" w:sz="8" w:space="0"/>
            </w:tcBorders>
            <w:noWrap/>
            <w:vAlign w:val="center"/>
          </w:tcPr>
          <w:p>
            <w:pPr>
              <w:adjustRightInd w:val="0"/>
              <w:snapToGrid w:val="0"/>
              <w:spacing w:line="260" w:lineRule="exact"/>
              <w:jc w:val="center"/>
              <w:rPr>
                <w:rFonts w:ascii="宋体" w:cs="仿宋_GB2312"/>
                <w:sz w:val="18"/>
                <w:szCs w:val="18"/>
              </w:rPr>
            </w:pPr>
          </w:p>
        </w:tc>
        <w:tc>
          <w:tcPr>
            <w:tcW w:w="504"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r>
    </w:tbl>
    <w:tbl>
      <w:tblPr>
        <w:tblStyle w:val="12"/>
        <w:tblpPr w:leftFromText="180" w:rightFromText="180" w:vertAnchor="text" w:horzAnchor="page" w:tblpX="1703" w:tblpY="6"/>
        <w:tblOverlap w:val="never"/>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3</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征地补偿登记结束后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4</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hAnsi="宋体" w:cs="仿宋_GB2312"/>
                <w:kern w:val="0"/>
                <w:sz w:val="18"/>
                <w:szCs w:val="18"/>
              </w:rPr>
            </w:pPr>
            <w:r>
              <w:rPr>
                <w:rFonts w:hint="eastAsia" w:ascii="宋体" w:hAnsi="宋体" w:cs="仿宋_GB2312"/>
                <w:kern w:val="0"/>
                <w:sz w:val="18"/>
                <w:szCs w:val="18"/>
              </w:rPr>
              <w:t>征地补偿安置方案听证</w:t>
            </w:r>
          </w:p>
          <w:p>
            <w:pPr>
              <w:widowControl/>
              <w:adjustRightInd w:val="0"/>
              <w:snapToGrid w:val="0"/>
              <w:spacing w:line="280" w:lineRule="exact"/>
              <w:jc w:val="center"/>
              <w:textAlignment w:val="center"/>
              <w:rPr>
                <w:rFonts w:ascii="宋体" w:cs="仿宋_GB2312"/>
                <w:b/>
                <w:sz w:val="18"/>
                <w:szCs w:val="18"/>
              </w:rPr>
            </w:pP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①《听证通知书》应在组织听证</w:t>
            </w:r>
            <w:r>
              <w:rPr>
                <w:rFonts w:ascii="宋体" w:hAnsi="宋体" w:cs="仿宋_GB2312"/>
                <w:kern w:val="0"/>
                <w:sz w:val="18"/>
                <w:szCs w:val="18"/>
              </w:rPr>
              <w:t>7</w:t>
            </w:r>
            <w:r>
              <w:rPr>
                <w:rFonts w:hint="eastAsia" w:ascii="宋体" w:hAnsi="宋体" w:cs="仿宋_GB2312"/>
                <w:kern w:val="0"/>
                <w:sz w:val="18"/>
                <w:szCs w:val="18"/>
              </w:rPr>
              <w:t>个工作日前予以公开；②其他听证公开内容在征地听证结束后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331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left w:val="nil"/>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2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397"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r>
      <w:tr>
        <w:tblPrEx>
          <w:tblCellMar>
            <w:top w:w="0" w:type="dxa"/>
            <w:left w:w="0" w:type="dxa"/>
            <w:bottom w:w="0" w:type="dxa"/>
            <w:right w:w="0" w:type="dxa"/>
          </w:tblCellMar>
        </w:tblPrEx>
        <w:trPr>
          <w:trHeight w:val="256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征地审查报批</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征地批准文件</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其他用地批准文件。</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县（市、区）人民政府和县（市、区）自然资源主管部门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6</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根据用地批复文件，县（市、区）人民政府拟定征收土地公告并予以公开。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w:t>
            </w:r>
            <w:r>
              <w:rPr>
                <w:rFonts w:ascii="宋体" w:hAnsi="宋体" w:cs="仿宋_GB2312"/>
                <w:kern w:val="0"/>
                <w:sz w:val="18"/>
                <w:szCs w:val="18"/>
              </w:rPr>
              <w:t xml:space="preserve">    </w:t>
            </w:r>
            <w:r>
              <w:rPr>
                <w:rFonts w:hint="eastAsia" w:ascii="宋体" w:hAnsi="宋体" w:cs="仿宋_GB2312"/>
                <w:kern w:val="0"/>
                <w:sz w:val="18"/>
                <w:szCs w:val="18"/>
              </w:rPr>
              <w:t>□公开查阅点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580"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7</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〔在被征地村公告栏张贴，予以公开，张贴之日起</w:t>
            </w:r>
            <w:r>
              <w:rPr>
                <w:rFonts w:ascii="宋体" w:hAnsi="宋体" w:cs="仿宋_GB2312"/>
                <w:kern w:val="0"/>
                <w:sz w:val="18"/>
                <w:szCs w:val="18"/>
              </w:rPr>
              <w:t>20</w:t>
            </w:r>
            <w:r>
              <w:rPr>
                <w:rFonts w:hint="eastAsia" w:ascii="宋体" w:hAns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获得支付凭证后</w:t>
            </w:r>
            <w:r>
              <w:rPr>
                <w:rFonts w:ascii="宋体" w:hAnsi="宋体" w:cs="仿宋_GB2312"/>
                <w:kern w:val="0"/>
                <w:sz w:val="18"/>
                <w:szCs w:val="18"/>
              </w:rPr>
              <w:t>5</w:t>
            </w:r>
            <w:r>
              <w:rPr>
                <w:rFonts w:hint="eastAsia" w:ascii="宋体" w:hAns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bl>
    <w:p>
      <w:pPr>
        <w:pStyle w:val="11"/>
        <w:rPr>
          <w:rFonts w:ascii="Calibri" w:hAnsi="Calibri" w:eastAsia="宋体"/>
          <w:b/>
          <w:kern w:val="44"/>
          <w:szCs w:val="44"/>
        </w:rPr>
      </w:pPr>
      <w:bookmarkStart w:id="2" w:name="河南省重大建设项目领域基层政务公开标准目录"/>
      <w:bookmarkEnd w:id="2"/>
      <w:bookmarkStart w:id="3" w:name="_Toc30113"/>
      <w:bookmarkStart w:id="4" w:name="_Toc23753"/>
      <w:bookmarkStart w:id="5" w:name="_Toc45118083"/>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方正小标宋简体" w:eastAsia="方正小标宋简体"/>
          <w:szCs w:val="44"/>
        </w:rPr>
      </w:pPr>
      <w:r>
        <w:rPr>
          <w:rFonts w:hint="eastAsia" w:ascii="Calibri" w:hAnsi="Calibri" w:eastAsia="宋体"/>
          <w:b/>
          <w:kern w:val="44"/>
          <w:szCs w:val="44"/>
          <w:lang w:eastAsia="zh-CN"/>
        </w:rPr>
        <w:t>兴唐</w:t>
      </w:r>
      <w:r>
        <w:rPr>
          <w:rFonts w:hint="eastAsia" w:ascii="Calibri" w:hAnsi="Calibri" w:eastAsia="宋体"/>
          <w:b/>
          <w:kern w:val="44"/>
          <w:szCs w:val="44"/>
        </w:rPr>
        <w:t>街道救灾领域基层政务公开标准目录</w:t>
      </w:r>
      <w:bookmarkEnd w:id="3"/>
      <w:bookmarkEnd w:id="4"/>
    </w:p>
    <w:tbl>
      <w:tblPr>
        <w:tblStyle w:val="12"/>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720"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240" w:type="dxa"/>
            <w:vMerge w:val="restart"/>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r>
              <w:rPr>
                <w:rFonts w:hint="eastAsia" w:ascii="仿宋_GB2312" w:hAnsi="宋体" w:eastAsia="仿宋_GB2312" w:cs="宋体"/>
                <w:sz w:val="18"/>
                <w:szCs w:val="18"/>
                <w:lang w:val="en-US" w:eastAsia="zh-CN"/>
              </w:rPr>
              <w:t>序号</w:t>
            </w:r>
          </w:p>
        </w:tc>
        <w:tc>
          <w:tcPr>
            <w:tcW w:w="713"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178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公开内容</w:t>
            </w:r>
          </w:p>
        </w:tc>
        <w:tc>
          <w:tcPr>
            <w:tcW w:w="220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公开依据</w:t>
            </w:r>
          </w:p>
        </w:tc>
        <w:tc>
          <w:tcPr>
            <w:tcW w:w="199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公开时限</w:t>
            </w:r>
          </w:p>
        </w:tc>
        <w:tc>
          <w:tcPr>
            <w:tcW w:w="114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公开主体</w:t>
            </w:r>
          </w:p>
        </w:tc>
        <w:tc>
          <w:tcPr>
            <w:tcW w:w="327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公开渠道和载体</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公开对象</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公开方式</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一级事项</w:t>
            </w:r>
          </w:p>
        </w:tc>
        <w:tc>
          <w:tcPr>
            <w:tcW w:w="240" w:type="dxa"/>
            <w:vMerge w:val="continue"/>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p>
        </w:tc>
        <w:tc>
          <w:tcPr>
            <w:tcW w:w="713"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二级事项</w:t>
            </w:r>
          </w:p>
        </w:tc>
        <w:tc>
          <w:tcPr>
            <w:tcW w:w="178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220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99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140" w:type="dxa"/>
            <w:vMerge w:val="continue"/>
            <w:shd w:val="clear" w:color="auto" w:fill="FFFFFF"/>
            <w:vAlign w:val="center"/>
          </w:tcPr>
          <w:p>
            <w:pPr>
              <w:pStyle w:val="10"/>
              <w:widowControl/>
              <w:spacing w:line="240" w:lineRule="exact"/>
              <w:rPr>
                <w:rFonts w:ascii="仿宋_GB2312" w:hAnsi="宋体" w:eastAsia="仿宋_GB2312" w:cs="仿宋_GB2312"/>
                <w:color w:val="000000"/>
                <w:sz w:val="18"/>
                <w:szCs w:val="18"/>
                <w:lang w:val="en-US" w:eastAsia="zh-CN"/>
              </w:rPr>
            </w:pPr>
          </w:p>
        </w:tc>
        <w:tc>
          <w:tcPr>
            <w:tcW w:w="327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全社会</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特定群体</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主动</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依申请</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县级</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法律法规</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与救灾有关的法律、法规</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部门和地方规章</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与救灾有关的部门和地方规章、规范性文件</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3</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其他政策文件</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其他可以公开的与救灾有关的政策文件，包括改革方案、发展规划、专项规划、工作计划等</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涉及管理相对人切身利益、需社会广泛知晓的重要改革方案等重大决策，决策前向社会公开决策草案、决策依据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5</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重大政策解读及回应</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●有关重大政策的解读及回应</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●相关热点问题的解读及回应</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号），中央办公厅、国务院办公厅《关于全面推进政务公开工作的意见》，《国务院办公厅关于在政务公开工作中进一步做好政务舆情回应的通知》（国办发〔</w:t>
            </w:r>
            <w:r>
              <w:rPr>
                <w:rFonts w:ascii="仿宋_GB2312" w:hAnsi="宋体" w:eastAsia="仿宋_GB2312" w:cs="仿宋_GB2312"/>
                <w:color w:val="000000"/>
                <w:sz w:val="18"/>
                <w:szCs w:val="18"/>
                <w:lang w:val="en-US" w:eastAsia="zh-CN"/>
              </w:rPr>
              <w:t>2016</w:t>
            </w:r>
            <w:r>
              <w:rPr>
                <w:rFonts w:hint="eastAsia" w:ascii="仿宋_GB2312" w:hAnsi="宋体" w:eastAsia="仿宋_GB2312" w:cs="仿宋_GB2312"/>
                <w:color w:val="000000"/>
                <w:sz w:val="18"/>
                <w:szCs w:val="18"/>
                <w:lang w:val="en-US" w:eastAsia="zh-CN"/>
              </w:rPr>
              <w:t>〕</w:t>
            </w:r>
            <w:r>
              <w:rPr>
                <w:rFonts w:ascii="仿宋_GB2312" w:hAnsi="宋体" w:eastAsia="仿宋_GB2312" w:cs="仿宋_GB2312"/>
                <w:color w:val="000000"/>
                <w:sz w:val="18"/>
                <w:szCs w:val="18"/>
                <w:lang w:val="en-US" w:eastAsia="zh-CN"/>
              </w:rPr>
              <w:t>61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重大决策作出后及时公开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color w:val="000000"/>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6</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重要会议</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以会议讨论作出重要改革方案等重大决策时，经党组研究认为有必要公开讨论决策过程的会议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提前一周发通知邀请</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7</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征集采纳社会公众意见情况</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重大决策草案公布后征集到的社会公众意见情况、采纳与否情况及理由等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征求意见时对外公布的时限内公开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备灾管理</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综合减灾示范社区分布情况（其具体位置、创建时间、创建级别等）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号）、《社会救助暂行办法》（</w:t>
            </w:r>
            <w:r>
              <w:rPr>
                <w:rFonts w:ascii="仿宋_GB2312" w:hAnsi="宋体" w:eastAsia="仿宋_GB2312" w:cs="仿宋_GB2312"/>
                <w:color w:val="000000"/>
                <w:sz w:val="18"/>
                <w:szCs w:val="18"/>
                <w:lang w:val="en-US" w:eastAsia="zh-CN"/>
              </w:rPr>
              <w:t>2014</w:t>
            </w:r>
            <w:r>
              <w:rPr>
                <w:rFonts w:hint="eastAsia" w:ascii="仿宋_GB2312" w:hAnsi="宋体" w:eastAsia="仿宋_GB2312" w:cs="仿宋_GB2312"/>
                <w:color w:val="000000"/>
                <w:sz w:val="18"/>
                <w:szCs w:val="18"/>
                <w:lang w:val="en-US" w:eastAsia="zh-CN"/>
              </w:rPr>
              <w:t>）、《国家综合防灾减灾规划（</w:t>
            </w:r>
            <w:r>
              <w:rPr>
                <w:rFonts w:ascii="仿宋_GB2312" w:hAnsi="宋体" w:eastAsia="仿宋_GB2312" w:cs="仿宋_GB2312"/>
                <w:color w:val="000000"/>
                <w:sz w:val="18"/>
                <w:szCs w:val="18"/>
                <w:lang w:val="en-US" w:eastAsia="zh-CN"/>
              </w:rPr>
              <w:t>2016-2020</w:t>
            </w:r>
            <w:r>
              <w:rPr>
                <w:rFonts w:hint="eastAsia" w:ascii="仿宋_GB2312" w:hAnsi="宋体" w:eastAsia="仿宋_GB2312" w:cs="仿宋_GB2312"/>
                <w:color w:val="000000"/>
                <w:sz w:val="18"/>
                <w:szCs w:val="18"/>
                <w:lang w:val="en-US" w:eastAsia="zh-CN"/>
              </w:rPr>
              <w:t>年）》</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灾后救助</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救助审定信息</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自然灾害救助（</w:t>
            </w:r>
            <w:r>
              <w:rPr>
                <w:rFonts w:ascii="仿宋_GB2312" w:hAnsi="宋体" w:eastAsia="仿宋_GB2312" w:cs="仿宋_GB2312"/>
                <w:color w:val="000000"/>
                <w:sz w:val="18"/>
                <w:szCs w:val="18"/>
                <w:lang w:val="en-US" w:eastAsia="zh-CN"/>
              </w:rPr>
              <w:t>6</w:t>
            </w:r>
            <w:r>
              <w:rPr>
                <w:rFonts w:hint="eastAsia" w:ascii="仿宋_GB2312" w:hAnsi="宋体" w:eastAsia="仿宋_GB2312" w:cs="仿宋_GB2312"/>
                <w:color w:val="000000"/>
                <w:sz w:val="18"/>
                <w:szCs w:val="18"/>
                <w:lang w:val="en-US" w:eastAsia="zh-CN"/>
              </w:rPr>
              <w:t>类）的救助对象、申报材料、办理程序及时限等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应急管理部门审批</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救助款物通知及划拨情况</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因灾过渡期生活救助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●因灾过渡期生活救助标准、过渡期生活救助对象评议结果公示（灾民姓名、受灾情况、拟救助金额、监督举报电话）</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●过渡期生活救助对象确定（灾民姓名、受灾情况、救助金额、监督举报电话</w:t>
            </w:r>
            <w:r>
              <w:rPr>
                <w:rFonts w:ascii="仿宋_GB2312" w:hAnsi="宋体" w:eastAsia="仿宋_GB2312" w:cs="仿宋_GB2312"/>
                <w:color w:val="000000"/>
                <w:sz w:val="18"/>
                <w:szCs w:val="18"/>
                <w:lang w:val="en-US" w:eastAsia="zh-CN"/>
              </w:rPr>
              <w:t>)</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spacing w:line="220" w:lineRule="exact"/>
              <w:rPr>
                <w:rFonts w:ascii="仿宋_GB2312" w:hAnsi="宋体" w:eastAsia="仿宋_GB2312" w:cs="宋体"/>
                <w:color w:val="000000"/>
                <w:sz w:val="18"/>
                <w:szCs w:val="18"/>
              </w:rPr>
            </w:pPr>
            <w:r>
              <w:rPr>
                <w:rFonts w:hint="eastAsia" w:ascii="仿宋_GB2312" w:hAnsi="宋体" w:eastAsia="仿宋_GB2312" w:cs="仿宋_GB2312"/>
                <w:color w:val="000000"/>
                <w:sz w:val="18"/>
                <w:szCs w:val="18"/>
              </w:rPr>
              <w:t>灾害救助</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●居民住房恢复重建救助标准（居民因灾倒房、损房恢复重建具体救助标准）</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●居民住房恢复重建救助对象评议结果公示（公开灾民姓名、受灾情况、拟救助标准、监督举报电话）</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款物管理</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捐赠款物信息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年度捐赠款物信息以及款物使用情况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年度款物使用情况</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年度救灾资金和救灾物资等使用情况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工作动态</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防灾减灾救灾其他相关动态信息</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bookmarkEnd w:id="5"/>
    </w:tbl>
    <w:p>
      <w:pPr>
        <w:pStyle w:val="11"/>
        <w:jc w:val="both"/>
        <w:outlineLvl w:val="9"/>
        <w:rPr>
          <w:rFonts w:ascii="方正小标宋简体" w:eastAsia="方正小标宋简体"/>
        </w:rPr>
      </w:pPr>
    </w:p>
    <w:p/>
    <w:p>
      <w:pPr>
        <w:jc w:val="center"/>
        <w:rPr>
          <w:rFonts w:ascii="方正小标宋简体" w:eastAsia="方正小标宋简体"/>
          <w:sz w:val="44"/>
          <w:szCs w:val="44"/>
        </w:rPr>
      </w:pPr>
      <w:r>
        <w:br w:type="page"/>
      </w:r>
      <w:bookmarkStart w:id="6" w:name="_Toc29120"/>
      <w:r>
        <w:rPr>
          <w:rStyle w:val="20"/>
          <w:rFonts w:hint="eastAsia"/>
          <w:lang w:eastAsia="zh-CN"/>
        </w:rPr>
        <w:t>兴唐</w:t>
      </w:r>
      <w:r>
        <w:rPr>
          <w:rStyle w:val="20"/>
          <w:rFonts w:hint="eastAsia"/>
        </w:rPr>
        <w:t>街道农村危房改造领域基层政务公开标准目录</w:t>
      </w:r>
      <w:bookmarkEnd w:id="6"/>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黑体"/>
                <w:sz w:val="18"/>
              </w:rPr>
            </w:pPr>
          </w:p>
          <w:p>
            <w:pPr>
              <w:pStyle w:val="48"/>
              <w:rPr>
                <w:rFonts w:ascii="黑体"/>
                <w:sz w:val="14"/>
              </w:rPr>
            </w:pPr>
          </w:p>
          <w:p>
            <w:pPr>
              <w:pStyle w:val="48"/>
              <w:ind w:left="24"/>
              <w:rPr>
                <w:b/>
                <w:sz w:val="18"/>
              </w:rPr>
            </w:pPr>
            <w:r>
              <w:rPr>
                <w:rFonts w:hint="eastAsia"/>
                <w:b/>
                <w:sz w:val="18"/>
              </w:rPr>
              <w:t>序号</w:t>
            </w:r>
          </w:p>
        </w:tc>
        <w:tc>
          <w:tcPr>
            <w:tcW w:w="376" w:type="dxa"/>
            <w:vMerge w:val="restart"/>
          </w:tcPr>
          <w:p>
            <w:pPr>
              <w:pStyle w:val="48"/>
              <w:rPr>
                <w:rFonts w:ascii="黑体"/>
                <w:sz w:val="23"/>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黑体"/>
                <w:sz w:val="18"/>
              </w:rPr>
            </w:pPr>
          </w:p>
          <w:p>
            <w:pPr>
              <w:pStyle w:val="48"/>
              <w:rPr>
                <w:rFonts w:ascii="黑体"/>
                <w:sz w:val="14"/>
              </w:rPr>
            </w:pPr>
          </w:p>
          <w:p>
            <w:pPr>
              <w:pStyle w:val="48"/>
              <w:ind w:left="282"/>
              <w:rPr>
                <w:b/>
                <w:sz w:val="18"/>
              </w:rPr>
            </w:pPr>
            <w:r>
              <w:rPr>
                <w:rFonts w:hint="eastAsia"/>
                <w:b/>
                <w:sz w:val="18"/>
              </w:rPr>
              <w:t>公开内容</w:t>
            </w:r>
          </w:p>
        </w:tc>
        <w:tc>
          <w:tcPr>
            <w:tcW w:w="2967" w:type="dxa"/>
            <w:vMerge w:val="restart"/>
          </w:tcPr>
          <w:p>
            <w:pPr>
              <w:pStyle w:val="48"/>
              <w:rPr>
                <w:rFonts w:ascii="黑体"/>
                <w:sz w:val="18"/>
              </w:rPr>
            </w:pPr>
          </w:p>
          <w:p>
            <w:pPr>
              <w:pStyle w:val="48"/>
              <w:rPr>
                <w:rFonts w:ascii="黑体"/>
                <w:sz w:val="14"/>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黑体"/>
                <w:sz w:val="18"/>
              </w:rPr>
            </w:pPr>
          </w:p>
          <w:p>
            <w:pPr>
              <w:pStyle w:val="48"/>
              <w:rPr>
                <w:rFonts w:ascii="黑体"/>
                <w:sz w:val="14"/>
              </w:rPr>
            </w:pPr>
          </w:p>
          <w:p>
            <w:pPr>
              <w:pStyle w:val="48"/>
              <w:ind w:left="114"/>
              <w:rPr>
                <w:b/>
                <w:sz w:val="18"/>
              </w:rPr>
            </w:pPr>
            <w:r>
              <w:rPr>
                <w:rFonts w:hint="eastAsia"/>
                <w:b/>
                <w:sz w:val="18"/>
              </w:rPr>
              <w:t>公开时限</w:t>
            </w:r>
          </w:p>
        </w:tc>
        <w:tc>
          <w:tcPr>
            <w:tcW w:w="884" w:type="dxa"/>
            <w:vMerge w:val="restart"/>
          </w:tcPr>
          <w:p>
            <w:pPr>
              <w:pStyle w:val="48"/>
              <w:rPr>
                <w:rFonts w:ascii="黑体"/>
                <w:sz w:val="18"/>
              </w:rPr>
            </w:pPr>
          </w:p>
          <w:p>
            <w:pPr>
              <w:pStyle w:val="48"/>
              <w:rPr>
                <w:rFonts w:ascii="黑体"/>
                <w:sz w:val="14"/>
              </w:rPr>
            </w:pPr>
          </w:p>
          <w:p>
            <w:pPr>
              <w:pStyle w:val="48"/>
              <w:ind w:left="80"/>
              <w:rPr>
                <w:b/>
                <w:sz w:val="18"/>
              </w:rPr>
            </w:pPr>
            <w:r>
              <w:rPr>
                <w:rFonts w:hint="eastAsia"/>
                <w:b/>
                <w:sz w:val="18"/>
              </w:rPr>
              <w:t>公开主体</w:t>
            </w:r>
          </w:p>
        </w:tc>
        <w:tc>
          <w:tcPr>
            <w:tcW w:w="3616" w:type="dxa"/>
            <w:vMerge w:val="restart"/>
          </w:tcPr>
          <w:p>
            <w:pPr>
              <w:pStyle w:val="48"/>
              <w:rPr>
                <w:rFonts w:ascii="黑体"/>
                <w:sz w:val="23"/>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黑体"/>
                <w:sz w:val="13"/>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黑体"/>
                <w:sz w:val="13"/>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sz w:val="18"/>
              </w:rPr>
              <w:t>1</w:t>
            </w:r>
          </w:p>
        </w:tc>
        <w:tc>
          <w:tcPr>
            <w:tcW w:w="37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spacing w:line="324" w:lineRule="auto"/>
              <w:ind w:left="98" w:right="85"/>
              <w:rPr>
                <w:sz w:val="18"/>
              </w:rPr>
            </w:pPr>
            <w:r>
              <w:rPr>
                <w:rFonts w:hint="eastAsia"/>
                <w:sz w:val="18"/>
              </w:rPr>
              <w:t>决策</w:t>
            </w:r>
          </w:p>
        </w:tc>
        <w:tc>
          <w:tcPr>
            <w:tcW w:w="489"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部门文件</w:t>
            </w:r>
          </w:p>
        </w:tc>
        <w:tc>
          <w:tcPr>
            <w:tcW w:w="400" w:type="dxa"/>
          </w:tcPr>
          <w:p>
            <w:pPr>
              <w:pStyle w:val="48"/>
              <w:rPr>
                <w:rFonts w:ascii="黑体"/>
                <w:sz w:val="18"/>
              </w:rPr>
            </w:pPr>
          </w:p>
          <w:p>
            <w:pPr>
              <w:pStyle w:val="48"/>
              <w:spacing w:line="324" w:lineRule="auto"/>
              <w:ind w:left="20" w:right="7"/>
              <w:jc w:val="both"/>
              <w:rPr>
                <w:sz w:val="18"/>
              </w:rPr>
            </w:pPr>
            <w:r>
              <w:rPr>
                <w:rFonts w:hint="eastAsia"/>
                <w:sz w:val="18"/>
              </w:rPr>
              <w:t>农村危房改造相关文件</w:t>
            </w:r>
          </w:p>
        </w:tc>
        <w:tc>
          <w:tcPr>
            <w:tcW w:w="1286" w:type="dxa"/>
          </w:tcPr>
          <w:p>
            <w:pPr>
              <w:pStyle w:val="48"/>
              <w:rPr>
                <w:rFonts w:ascii="黑体"/>
                <w:sz w:val="18"/>
              </w:rPr>
            </w:pPr>
          </w:p>
          <w:p>
            <w:pPr>
              <w:pStyle w:val="48"/>
              <w:rPr>
                <w:rFonts w:ascii="黑体"/>
              </w:rPr>
            </w:pPr>
          </w:p>
          <w:p>
            <w:pPr>
              <w:pStyle w:val="48"/>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8"/>
              <w:spacing w:line="324" w:lineRule="auto"/>
              <w:ind w:left="14" w:right="60"/>
              <w:jc w:val="both"/>
              <w:rPr>
                <w:sz w:val="18"/>
              </w:rPr>
            </w:pPr>
            <w:r>
              <w:rPr>
                <w:rFonts w:hint="eastAsia"/>
                <w:sz w:val="18"/>
              </w:rPr>
              <w:t>《国务院办公厅印发〈关于全面推进政务公开工作的意见〉实施细则的通知》</w:t>
            </w:r>
          </w:p>
          <w:p>
            <w:pPr>
              <w:pStyle w:val="48"/>
              <w:spacing w:line="324" w:lineRule="auto"/>
              <w:ind w:left="14" w:right="60"/>
              <w:jc w:val="both"/>
              <w:rPr>
                <w:sz w:val="18"/>
              </w:rPr>
            </w:pPr>
            <w:r>
              <w:rPr>
                <w:rFonts w:hint="eastAsia"/>
                <w:sz w:val="18"/>
              </w:rPr>
              <w:t>《河南省人民政府办公厅关于全面推进基层政务公开标准化规范化工作的通知》</w:t>
            </w:r>
          </w:p>
          <w:p>
            <w:pPr>
              <w:pStyle w:val="48"/>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2</w:t>
            </w:r>
          </w:p>
        </w:tc>
        <w:tc>
          <w:tcPr>
            <w:tcW w:w="376" w:type="dxa"/>
            <w:vMerge w:val="continue"/>
            <w:tcBorders>
              <w:top w:val="nil"/>
            </w:tcBorders>
          </w:tcPr>
          <w:p>
            <w:pPr>
              <w:rPr>
                <w:sz w:val="2"/>
                <w:szCs w:val="2"/>
              </w:rPr>
            </w:pPr>
          </w:p>
        </w:tc>
        <w:tc>
          <w:tcPr>
            <w:tcW w:w="489"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政策解读</w:t>
            </w: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20" w:right="7"/>
              <w:jc w:val="both"/>
              <w:rPr>
                <w:sz w:val="18"/>
              </w:rPr>
            </w:pPr>
            <w:r>
              <w:rPr>
                <w:rFonts w:hint="eastAsia"/>
                <w:sz w:val="18"/>
              </w:rPr>
              <w:t>上级政策解读</w:t>
            </w:r>
          </w:p>
        </w:tc>
        <w:tc>
          <w:tcPr>
            <w:tcW w:w="128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4"/>
              </w:rPr>
            </w:pPr>
          </w:p>
          <w:p>
            <w:pPr>
              <w:pStyle w:val="48"/>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4"/>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3</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20" w:right="7"/>
              <w:jc w:val="both"/>
              <w:rPr>
                <w:sz w:val="18"/>
              </w:rPr>
            </w:pPr>
            <w:r>
              <w:rPr>
                <w:rFonts w:hint="eastAsia"/>
                <w:sz w:val="18"/>
              </w:rPr>
              <w:t>本级政策解读</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3"/>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52"/>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19"/>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4"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sz w:val="18"/>
              </w:rPr>
              <w:t>4</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98" w:right="85"/>
              <w:rPr>
                <w:sz w:val="18"/>
              </w:rPr>
            </w:pPr>
            <w:r>
              <w:rPr>
                <w:rFonts w:hint="eastAsia"/>
                <w:sz w:val="18"/>
              </w:rPr>
              <w:t>执行</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62" w:right="54"/>
              <w:rPr>
                <w:sz w:val="18"/>
              </w:rPr>
            </w:pPr>
            <w:r>
              <w:rPr>
                <w:rFonts w:hint="eastAsia"/>
                <w:sz w:val="18"/>
              </w:rPr>
              <w:t>计划实施</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20" w:right="7"/>
              <w:rPr>
                <w:sz w:val="18"/>
              </w:rPr>
            </w:pPr>
            <w:r>
              <w:rPr>
                <w:rFonts w:hint="eastAsia"/>
                <w:sz w:val="18"/>
              </w:rPr>
              <w:t>任务分配</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及时公开农村危房改造补助农户名单</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numPr>
                <w:ilvl w:val="0"/>
                <w:numId w:val="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6"/>
              <w:jc w:val="center"/>
              <w:rPr>
                <w:sz w:val="18"/>
              </w:rPr>
            </w:pPr>
            <w:r>
              <w:rPr>
                <w:sz w:val="18"/>
              </w:rPr>
              <w:t>5</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20" w:right="7"/>
              <w:rPr>
                <w:sz w:val="18"/>
              </w:rPr>
            </w:pPr>
            <w:r>
              <w:rPr>
                <w:rFonts w:hint="eastAsia"/>
                <w:sz w:val="18"/>
              </w:rPr>
              <w:t>组织培训</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组织开展农村建筑工匠培训文件</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8"/>
              </w:rPr>
            </w:pPr>
          </w:p>
          <w:p>
            <w:pPr>
              <w:pStyle w:val="48"/>
              <w:rPr>
                <w:rFonts w:ascii="Times New Roman"/>
                <w:sz w:val="18"/>
              </w:rPr>
            </w:pPr>
          </w:p>
          <w:p>
            <w:pPr>
              <w:pStyle w:val="48"/>
              <w:numPr>
                <w:ilvl w:val="0"/>
                <w:numId w:val="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sz w:val="18"/>
              </w:rPr>
              <w:t>6</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98" w:right="85"/>
              <w:rPr>
                <w:sz w:val="18"/>
              </w:rPr>
            </w:pPr>
            <w:r>
              <w:rPr>
                <w:rFonts w:hint="eastAsia"/>
                <w:sz w:val="18"/>
              </w:rPr>
              <w:t>管理</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农村危房等级评定标准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农村危房等级评定相关标准</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4"/>
              <w:rPr>
                <w:sz w:val="18"/>
              </w:rPr>
            </w:pPr>
            <w:r>
              <w:rPr>
                <w:rFonts w:hint="eastAsia"/>
                <w:sz w:val="18"/>
              </w:rPr>
              <w:t>《中华人民共和国预算法》</w:t>
            </w:r>
          </w:p>
          <w:p>
            <w:pPr>
              <w:pStyle w:val="48"/>
              <w:ind w:left="14"/>
              <w:rPr>
                <w:sz w:val="18"/>
              </w:rPr>
            </w:pPr>
            <w:r>
              <w:rPr>
                <w:rFonts w:hint="eastAsia"/>
                <w:sz w:val="18"/>
              </w:rPr>
              <w:t>《政府信息公开条例》</w:t>
            </w: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6"/>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sz w:val="18"/>
              </w:rPr>
              <w:t>7</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农村危房改造对象申请条件</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农村危房改造农户申请条件</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6"/>
              </w:rPr>
            </w:pPr>
          </w:p>
          <w:p>
            <w:pPr>
              <w:pStyle w:val="48"/>
              <w:numPr>
                <w:ilvl w:val="0"/>
                <w:numId w:val="7"/>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sz w:val="18"/>
              </w:rPr>
              <w:t>8</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农村危房改造资金补助标准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农村危房改造资金补助标准</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13" w:right="138"/>
              <w:jc w:val="both"/>
              <w:rPr>
                <w:sz w:val="18"/>
              </w:rPr>
            </w:pPr>
            <w:r>
              <w:rPr>
                <w:rFonts w:hint="eastAsia"/>
                <w:sz w:val="18"/>
              </w:rPr>
              <w:t>住房和城乡建设部门财政等部门</w:t>
            </w:r>
          </w:p>
        </w:tc>
        <w:tc>
          <w:tcPr>
            <w:tcW w:w="3616" w:type="dxa"/>
          </w:tcPr>
          <w:p>
            <w:pPr>
              <w:pStyle w:val="48"/>
              <w:rPr>
                <w:rFonts w:ascii="Times New Roman"/>
                <w:sz w:val="16"/>
              </w:rPr>
            </w:pPr>
          </w:p>
          <w:p>
            <w:pPr>
              <w:pStyle w:val="48"/>
              <w:numPr>
                <w:ilvl w:val="0"/>
                <w:numId w:val="8"/>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267"/>
              <w:rPr>
                <w:sz w:val="18"/>
              </w:rPr>
            </w:pPr>
            <w:r>
              <w:rPr>
                <w:rFonts w:hint="eastAsia"/>
                <w:sz w:val="18"/>
              </w:rPr>
              <w:t>√</w:t>
            </w:r>
          </w:p>
        </w:tc>
      </w:tr>
    </w:tbl>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6"/>
              <w:jc w:val="center"/>
              <w:rPr>
                <w:sz w:val="18"/>
              </w:rPr>
            </w:pPr>
            <w:r>
              <w:rPr>
                <w:sz w:val="18"/>
              </w:rPr>
              <w:t>9</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98" w:right="85"/>
              <w:rPr>
                <w:sz w:val="18"/>
              </w:rPr>
            </w:pPr>
            <w:r>
              <w:rPr>
                <w:rFonts w:hint="eastAsia"/>
                <w:sz w:val="18"/>
              </w:rPr>
              <w:t>管理</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25"/>
              </w:rPr>
            </w:pPr>
          </w:p>
          <w:p>
            <w:pPr>
              <w:pStyle w:val="48"/>
              <w:spacing w:line="324" w:lineRule="auto"/>
              <w:ind w:left="20" w:right="7"/>
              <w:jc w:val="both"/>
              <w:rPr>
                <w:sz w:val="18"/>
              </w:rPr>
            </w:pPr>
            <w:r>
              <w:rPr>
                <w:rFonts w:hint="eastAsia"/>
                <w:sz w:val="18"/>
              </w:rPr>
              <w:t>农村危房改造竣工合格标准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13" w:right="180"/>
              <w:rPr>
                <w:sz w:val="18"/>
              </w:rPr>
            </w:pPr>
            <w:r>
              <w:rPr>
                <w:rFonts w:hint="eastAsia"/>
                <w:sz w:val="18"/>
              </w:rPr>
              <w:t>农村危房改造竣工验收要求</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9"/>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10</w:t>
            </w:r>
          </w:p>
        </w:tc>
        <w:tc>
          <w:tcPr>
            <w:tcW w:w="376" w:type="dxa"/>
            <w:vMerge w:val="continue"/>
            <w:tcBorders>
              <w:top w:val="nil"/>
            </w:tcBorders>
          </w:tcPr>
          <w:p>
            <w:pPr>
              <w:rPr>
                <w:sz w:val="2"/>
                <w:szCs w:val="2"/>
              </w:rPr>
            </w:pP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62" w:right="54"/>
              <w:rPr>
                <w:sz w:val="18"/>
              </w:rPr>
            </w:pPr>
            <w:r>
              <w:rPr>
                <w:rFonts w:hint="eastAsia"/>
                <w:sz w:val="18"/>
              </w:rPr>
              <w:t>对象认定</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危改户认定程序</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农村危房改造申请程序</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县级住房和城乡建设部门</w:t>
            </w:r>
          </w:p>
        </w:tc>
        <w:tc>
          <w:tcPr>
            <w:tcW w:w="3616" w:type="dxa"/>
          </w:tcPr>
          <w:p>
            <w:pPr>
              <w:pStyle w:val="48"/>
              <w:rPr>
                <w:rFonts w:ascii="Times New Roman"/>
                <w:sz w:val="14"/>
              </w:rPr>
            </w:pPr>
          </w:p>
          <w:p>
            <w:pPr>
              <w:pStyle w:val="48"/>
              <w:numPr>
                <w:ilvl w:val="0"/>
                <w:numId w:val="10"/>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11</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20" w:right="7"/>
              <w:rPr>
                <w:sz w:val="18"/>
              </w:rPr>
            </w:pPr>
            <w:r>
              <w:rPr>
                <w:rFonts w:hint="eastAsia"/>
                <w:sz w:val="18"/>
              </w:rPr>
              <w:t>认定结果</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3"/>
              <w:rPr>
                <w:sz w:val="18"/>
              </w:rPr>
            </w:pPr>
            <w:r>
              <w:rPr>
                <w:rFonts w:hint="eastAsia"/>
                <w:sz w:val="18"/>
              </w:rPr>
              <w:t>认定结果</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乡镇人民政府村委会</w:t>
            </w:r>
          </w:p>
        </w:tc>
        <w:tc>
          <w:tcPr>
            <w:tcW w:w="3616" w:type="dxa"/>
          </w:tcPr>
          <w:p>
            <w:pPr>
              <w:pStyle w:val="48"/>
              <w:numPr>
                <w:ilvl w:val="0"/>
                <w:numId w:val="1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13</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98" w:right="85"/>
              <w:rPr>
                <w:sz w:val="18"/>
              </w:rPr>
            </w:pPr>
            <w:r>
              <w:rPr>
                <w:rFonts w:hint="eastAsia"/>
                <w:sz w:val="18"/>
              </w:rPr>
              <w:t>结果</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rPr>
                <w:sz w:val="18"/>
              </w:rPr>
            </w:pPr>
            <w:r>
              <w:rPr>
                <w:rFonts w:hint="eastAsia"/>
                <w:sz w:val="18"/>
              </w:rPr>
              <w:t>决策部署</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决策部署落实情况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决策部署落实情况等</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4"/>
              </w:rPr>
            </w:pPr>
          </w:p>
          <w:p>
            <w:pPr>
              <w:pStyle w:val="48"/>
              <w:numPr>
                <w:ilvl w:val="0"/>
                <w:numId w:val="1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96" w:right="85"/>
              <w:jc w:val="center"/>
              <w:rPr>
                <w:sz w:val="18"/>
              </w:rPr>
            </w:pPr>
            <w:r>
              <w:rPr>
                <w:sz w:val="18"/>
              </w:rPr>
              <w:t>14</w:t>
            </w:r>
          </w:p>
        </w:tc>
        <w:tc>
          <w:tcPr>
            <w:tcW w:w="376" w:type="dxa"/>
            <w:vMerge w:val="continue"/>
            <w:tcBorders>
              <w:top w:val="nil"/>
              <w:bottom w:val="nil"/>
            </w:tcBorders>
          </w:tcPr>
          <w:p>
            <w:pPr>
              <w:rPr>
                <w:sz w:val="2"/>
                <w:szCs w:val="2"/>
              </w:rPr>
            </w:pPr>
          </w:p>
        </w:tc>
        <w:tc>
          <w:tcPr>
            <w:tcW w:w="489"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62" w:right="54"/>
              <w:jc w:val="both"/>
              <w:rPr>
                <w:sz w:val="18"/>
              </w:rPr>
            </w:pPr>
            <w:r>
              <w:rPr>
                <w:rFonts w:hint="eastAsia"/>
                <w:sz w:val="18"/>
              </w:rPr>
              <w:t>年度任务实施</w:t>
            </w:r>
          </w:p>
        </w:tc>
        <w:tc>
          <w:tcPr>
            <w:tcW w:w="400" w:type="dxa"/>
          </w:tcPr>
          <w:p>
            <w:pPr>
              <w:pStyle w:val="48"/>
              <w:rPr>
                <w:rFonts w:ascii="Times New Roman"/>
                <w:sz w:val="18"/>
              </w:rPr>
            </w:pPr>
          </w:p>
          <w:p>
            <w:pPr>
              <w:pStyle w:val="48"/>
              <w:rPr>
                <w:rFonts w:ascii="Times New Roman"/>
                <w:sz w:val="18"/>
              </w:rPr>
            </w:pPr>
          </w:p>
          <w:p>
            <w:pPr>
              <w:pStyle w:val="48"/>
              <w:spacing w:line="324" w:lineRule="auto"/>
              <w:ind w:left="20" w:right="7"/>
              <w:jc w:val="both"/>
              <w:rPr>
                <w:sz w:val="18"/>
              </w:rPr>
            </w:pPr>
            <w:r>
              <w:rPr>
                <w:rFonts w:hint="eastAsia"/>
                <w:sz w:val="18"/>
              </w:rPr>
              <w:t>年度任务执行情况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年度工作完成情况等</w:t>
            </w:r>
          </w:p>
        </w:tc>
        <w:tc>
          <w:tcPr>
            <w:tcW w:w="2967" w:type="dxa"/>
            <w:vMerge w:val="continue"/>
            <w:tcBorders>
              <w:top w:val="nil"/>
              <w:bottom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1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15</w:t>
            </w:r>
          </w:p>
        </w:tc>
        <w:tc>
          <w:tcPr>
            <w:tcW w:w="376"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98" w:right="85"/>
              <w:jc w:val="both"/>
              <w:rPr>
                <w:sz w:val="18"/>
              </w:rPr>
            </w:pPr>
            <w:r>
              <w:rPr>
                <w:rFonts w:hint="eastAsia"/>
                <w:sz w:val="18"/>
              </w:rPr>
              <w:t>回应关切</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spacing w:line="324" w:lineRule="auto"/>
              <w:ind w:left="62" w:right="54"/>
              <w:jc w:val="both"/>
              <w:rPr>
                <w:sz w:val="18"/>
              </w:rPr>
            </w:pPr>
            <w:r>
              <w:rPr>
                <w:rFonts w:hint="eastAsia"/>
                <w:sz w:val="18"/>
              </w:rPr>
              <w:t>舆情收集热点及关键问题回应</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jc w:val="both"/>
              <w:rPr>
                <w:sz w:val="18"/>
              </w:rPr>
            </w:pPr>
            <w:r>
              <w:rPr>
                <w:rFonts w:hint="eastAsia"/>
                <w:sz w:val="18"/>
              </w:rPr>
              <w:t>舆情收集回应</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接受投诉咨询建议等联系电话通信地址等</w:t>
            </w:r>
          </w:p>
        </w:tc>
        <w:tc>
          <w:tcPr>
            <w:tcW w:w="2967"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市县级住房和城乡建设等相关职能部门</w:t>
            </w:r>
          </w:p>
        </w:tc>
        <w:tc>
          <w:tcPr>
            <w:tcW w:w="3616" w:type="dxa"/>
          </w:tcPr>
          <w:p>
            <w:pPr>
              <w:pStyle w:val="48"/>
              <w:rPr>
                <w:rFonts w:ascii="Times New Roman"/>
                <w:sz w:val="14"/>
              </w:rPr>
            </w:pPr>
          </w:p>
          <w:p>
            <w:pPr>
              <w:pStyle w:val="48"/>
              <w:numPr>
                <w:ilvl w:val="0"/>
                <w:numId w:val="1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16</w:t>
            </w:r>
          </w:p>
        </w:tc>
        <w:tc>
          <w:tcPr>
            <w:tcW w:w="376" w:type="dxa"/>
            <w:tcBorders>
              <w:top w:val="nil"/>
            </w:tcBorders>
          </w:tcPr>
          <w:p>
            <w:pPr>
              <w:rPr>
                <w:sz w:val="2"/>
                <w:szCs w:val="2"/>
              </w:rPr>
            </w:pPr>
          </w:p>
        </w:tc>
        <w:tc>
          <w:tcPr>
            <w:tcW w:w="489" w:type="dxa"/>
          </w:tcPr>
          <w:p>
            <w:pPr>
              <w:pStyle w:val="48"/>
              <w:spacing w:line="324" w:lineRule="auto"/>
              <w:ind w:left="62" w:right="54"/>
              <w:jc w:val="both"/>
              <w:rPr>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rPr>
                <w:sz w:val="18"/>
              </w:rPr>
            </w:pPr>
            <w:r>
              <w:rPr>
                <w:rFonts w:hint="eastAsia"/>
                <w:sz w:val="18"/>
              </w:rPr>
              <w:t>互动回应</w:t>
            </w:r>
          </w:p>
        </w:tc>
        <w:tc>
          <w:tcPr>
            <w:tcW w:w="1286" w:type="dxa"/>
          </w:tcPr>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涉及群众切身利益和舆论关注的焦点热点及关键问题等回应内容</w:t>
            </w:r>
          </w:p>
        </w:tc>
        <w:tc>
          <w:tcPr>
            <w:tcW w:w="2967" w:type="dxa"/>
            <w:tcBorders>
              <w:top w:val="nil"/>
            </w:tcBorders>
          </w:tcPr>
          <w:p>
            <w:pPr>
              <w:rPr>
                <w:sz w:val="2"/>
                <w:szCs w:val="2"/>
              </w:rPr>
            </w:pPr>
          </w:p>
        </w:tc>
        <w:tc>
          <w:tcPr>
            <w:tcW w:w="948" w:type="dxa"/>
          </w:tcPr>
          <w:p>
            <w:pPr>
              <w:pStyle w:val="48"/>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8"/>
              <w:ind w:left="13"/>
              <w:rPr>
                <w:sz w:val="18"/>
              </w:rPr>
            </w:pPr>
            <w:r>
              <w:rPr>
                <w:rFonts w:hint="eastAsia"/>
                <w:sz w:val="18"/>
              </w:rPr>
              <w:t>发布信息。</w:t>
            </w:r>
          </w:p>
        </w:tc>
        <w:tc>
          <w:tcPr>
            <w:tcW w:w="884" w:type="dxa"/>
          </w:tcPr>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辖区政府县级住房和城乡建设等相关职能部门</w:t>
            </w:r>
          </w:p>
        </w:tc>
        <w:tc>
          <w:tcPr>
            <w:tcW w:w="3616" w:type="dxa"/>
          </w:tcPr>
          <w:p>
            <w:pPr>
              <w:pStyle w:val="48"/>
              <w:rPr>
                <w:rFonts w:ascii="Times New Roman"/>
                <w:sz w:val="18"/>
              </w:rPr>
            </w:pPr>
          </w:p>
          <w:p>
            <w:pPr>
              <w:pStyle w:val="48"/>
              <w:numPr>
                <w:ilvl w:val="0"/>
                <w:numId w:val="1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p/>
    <w:p>
      <w:pPr>
        <w:spacing w:line="640" w:lineRule="exact"/>
      </w:pPr>
    </w:p>
    <w:p>
      <w:pPr>
        <w:spacing w:line="640" w:lineRule="exact"/>
        <w:jc w:val="center"/>
        <w:rPr>
          <w:rFonts w:ascii="方正小标宋简体" w:eastAsia="方正小标宋简体"/>
          <w:sz w:val="44"/>
          <w:szCs w:val="44"/>
        </w:rPr>
      </w:pPr>
      <w:r>
        <w:br w:type="page"/>
      </w:r>
      <w:bookmarkStart w:id="7" w:name="_Toc8195"/>
      <w:bookmarkStart w:id="8" w:name="_Toc8907"/>
      <w:bookmarkStart w:id="9" w:name="_Toc3954_WPSOffice_Level1"/>
      <w:bookmarkStart w:id="10" w:name="_Toc4111_WPSOffice_Level1"/>
      <w:bookmarkStart w:id="11" w:name="公共文化服务领域基层政务公开标准目录"/>
      <w:r>
        <w:rPr>
          <w:rStyle w:val="20"/>
          <w:rFonts w:hint="eastAsia"/>
          <w:szCs w:val="22"/>
          <w:lang w:eastAsia="zh-CN"/>
        </w:rPr>
        <w:t>兴唐</w:t>
      </w:r>
      <w:r>
        <w:rPr>
          <w:rStyle w:val="20"/>
          <w:rFonts w:hint="eastAsia"/>
          <w:szCs w:val="22"/>
        </w:rPr>
        <w:t>街道</w:t>
      </w:r>
      <w:r>
        <w:rPr>
          <w:rStyle w:val="20"/>
          <w:rFonts w:hint="eastAsia"/>
        </w:rPr>
        <w:t>公共文化服务领域基层政务公开标准目录</w:t>
      </w:r>
      <w:bookmarkEnd w:id="7"/>
      <w:bookmarkEnd w:id="8"/>
      <w:bookmarkEnd w:id="9"/>
      <w:bookmarkEnd w:id="10"/>
    </w:p>
    <w:bookmarkEnd w:id="11"/>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ascii="黑体" w:hAnsi="黑体" w:eastAsia="黑体" w:cs="黑体"/>
                <w:color w:val="000000"/>
                <w:kern w:val="0"/>
                <w:sz w:val="18"/>
                <w:szCs w:val="18"/>
              </w:rPr>
            </w:pPr>
          </w:p>
        </w:tc>
        <w:tc>
          <w:tcPr>
            <w:tcW w:w="734"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vAlign w:val="center"/>
          </w:tcPr>
          <w:p>
            <w:pPr>
              <w:widowControl/>
              <w:spacing w:line="240" w:lineRule="exact"/>
              <w:jc w:val="left"/>
              <w:rPr>
                <w:rFonts w:ascii="黑体" w:hAnsi="黑体" w:eastAsia="黑体" w:cs="黑体"/>
                <w:color w:val="000000"/>
                <w:kern w:val="0"/>
                <w:sz w:val="18"/>
                <w:szCs w:val="18"/>
              </w:rPr>
            </w:pPr>
          </w:p>
        </w:tc>
        <w:tc>
          <w:tcPr>
            <w:tcW w:w="1980" w:type="dxa"/>
            <w:vMerge w:val="continue"/>
            <w:vAlign w:val="center"/>
          </w:tcPr>
          <w:p>
            <w:pPr>
              <w:widowControl/>
              <w:spacing w:line="240" w:lineRule="exact"/>
              <w:jc w:val="left"/>
              <w:rPr>
                <w:rFonts w:ascii="黑体" w:hAnsi="黑体" w:eastAsia="黑体" w:cs="黑体"/>
                <w:color w:val="000000"/>
                <w:kern w:val="0"/>
                <w:sz w:val="18"/>
                <w:szCs w:val="18"/>
              </w:rPr>
            </w:pPr>
          </w:p>
        </w:tc>
        <w:tc>
          <w:tcPr>
            <w:tcW w:w="1814" w:type="dxa"/>
            <w:vMerge w:val="continue"/>
            <w:vAlign w:val="center"/>
          </w:tcPr>
          <w:p>
            <w:pPr>
              <w:widowControl/>
              <w:spacing w:line="240" w:lineRule="exact"/>
              <w:jc w:val="left"/>
              <w:rPr>
                <w:rFonts w:ascii="黑体" w:hAnsi="黑体" w:eastAsia="黑体" w:cs="黑体"/>
                <w:color w:val="000000"/>
                <w:kern w:val="0"/>
                <w:sz w:val="18"/>
                <w:szCs w:val="18"/>
              </w:rPr>
            </w:pPr>
          </w:p>
        </w:tc>
        <w:tc>
          <w:tcPr>
            <w:tcW w:w="1426" w:type="dxa"/>
            <w:vMerge w:val="continue"/>
            <w:vAlign w:val="center"/>
          </w:tcPr>
          <w:p>
            <w:pPr>
              <w:widowControl/>
              <w:spacing w:line="240" w:lineRule="exact"/>
              <w:jc w:val="left"/>
              <w:rPr>
                <w:rFonts w:ascii="黑体" w:hAnsi="黑体" w:eastAsia="黑体" w:cs="黑体"/>
                <w:color w:val="000000"/>
                <w:kern w:val="0"/>
                <w:sz w:val="18"/>
                <w:szCs w:val="18"/>
              </w:rPr>
            </w:pPr>
          </w:p>
        </w:tc>
        <w:tc>
          <w:tcPr>
            <w:tcW w:w="1440" w:type="dxa"/>
            <w:vMerge w:val="continue"/>
            <w:vAlign w:val="center"/>
          </w:tcPr>
          <w:p>
            <w:pPr>
              <w:widowControl/>
              <w:spacing w:line="240" w:lineRule="exact"/>
              <w:jc w:val="left"/>
              <w:rPr>
                <w:rFonts w:ascii="黑体" w:hAnsi="黑体" w:eastAsia="黑体" w:cs="黑体"/>
                <w:color w:val="000000"/>
                <w:kern w:val="0"/>
                <w:sz w:val="18"/>
                <w:szCs w:val="18"/>
              </w:rPr>
            </w:pPr>
          </w:p>
        </w:tc>
        <w:tc>
          <w:tcPr>
            <w:tcW w:w="60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特定群体</w:t>
            </w:r>
          </w:p>
        </w:tc>
        <w:tc>
          <w:tcPr>
            <w:tcW w:w="45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《公共文化服务保障法》、《政府信息公开条例》、《文化部</w:t>
            </w:r>
            <w:r>
              <w:rPr>
                <w:rFonts w:ascii="宋体" w:hAnsi="宋体" w:cs="宋体"/>
                <w:color w:val="000000"/>
                <w:sz w:val="18"/>
                <w:szCs w:val="18"/>
              </w:rPr>
              <w:t xml:space="preserve"> </w:t>
            </w:r>
            <w:r>
              <w:rPr>
                <w:rFonts w:hint="eastAsia" w:ascii="宋体" w:hAnsi="宋体" w:cs="宋体"/>
                <w:color w:val="000000"/>
                <w:sz w:val="18"/>
                <w:szCs w:val="18"/>
              </w:rPr>
              <w:t>财政部关于推进全国美术馆、公共图书馆、文化馆（站）免费开放工作的意见》、《文化部</w:t>
            </w:r>
            <w:r>
              <w:rPr>
                <w:rFonts w:ascii="宋体" w:hAnsi="宋体" w:cs="宋体"/>
                <w:color w:val="000000"/>
                <w:sz w:val="18"/>
                <w:szCs w:val="18"/>
              </w:rPr>
              <w:t xml:space="preserve"> </w:t>
            </w:r>
            <w:r>
              <w:rPr>
                <w:rFonts w:hint="eastAsia" w:ascii="宋体" w:hAnsi="宋体" w:cs="宋体"/>
                <w:color w:val="000000"/>
                <w:sz w:val="18"/>
                <w:szCs w:val="18"/>
              </w:rPr>
              <w:t>财政部关于做好城市社区</w:t>
            </w:r>
            <w:r>
              <w:rPr>
                <w:rFonts w:ascii="宋体" w:hAnsi="宋体" w:cs="宋体"/>
                <w:color w:val="000000"/>
                <w:sz w:val="18"/>
                <w:szCs w:val="18"/>
              </w:rPr>
              <w:t>(</w:t>
            </w:r>
            <w:r>
              <w:rPr>
                <w:rFonts w:hint="eastAsia" w:ascii="宋体" w:hAnsi="宋体" w:cs="宋体"/>
                <w:color w:val="000000"/>
                <w:sz w:val="18"/>
                <w:szCs w:val="18"/>
              </w:rPr>
              <w:t>街道</w:t>
            </w:r>
            <w:r>
              <w:rPr>
                <w:rFonts w:ascii="宋体" w:hAnsi="宋体" w:cs="宋体"/>
                <w:color w:val="000000"/>
                <w:sz w:val="18"/>
                <w:szCs w:val="18"/>
              </w:rPr>
              <w:t>)</w:t>
            </w:r>
            <w:r>
              <w:rPr>
                <w:rFonts w:hint="eastAsia" w:ascii="宋体" w:hAns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2</w:t>
            </w:r>
          </w:p>
        </w:tc>
        <w:tc>
          <w:tcPr>
            <w:tcW w:w="734" w:type="dxa"/>
            <w:vMerge w:val="continue"/>
            <w:vAlign w:val="center"/>
          </w:tcPr>
          <w:p>
            <w:pPr>
              <w:spacing w:line="260" w:lineRule="exact"/>
              <w:rPr>
                <w:rFonts w:ascii="宋体" w:hAnsi="宋体" w:cs="宋体"/>
                <w:color w:val="000000"/>
                <w:sz w:val="18"/>
                <w:szCs w:val="18"/>
              </w:rPr>
            </w:pP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《残疾人保障法》、《政府信息公开条例》、《中共中央办公厅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4</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5</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6</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培训时间；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培训单位；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培训地址；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7</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组织单位；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《非物质文化遗产法》、《政府信息公开条例》</w:t>
            </w:r>
            <w:r>
              <w:rPr>
                <w:rFonts w:ascii="宋体" w:hAns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8</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bl>
    <w:p>
      <w:pPr>
        <w:spacing w:line="220" w:lineRule="exact"/>
      </w:pPr>
    </w:p>
    <w:p>
      <w:pPr>
        <w:adjustRightInd w:val="0"/>
        <w:spacing w:line="640" w:lineRule="exact"/>
        <w:jc w:val="center"/>
        <w:rPr>
          <w:rFonts w:ascii="方正小标宋简体" w:hAnsi="宋体" w:eastAsia="方正小标宋简体" w:cs="宋体"/>
          <w:b/>
          <w:sz w:val="44"/>
          <w:szCs w:val="44"/>
        </w:rPr>
      </w:pPr>
      <w:r>
        <w:br w:type="page"/>
      </w:r>
      <w:bookmarkStart w:id="12" w:name="_Toc24326"/>
      <w:r>
        <w:rPr>
          <w:rStyle w:val="20"/>
          <w:rFonts w:hint="eastAsia"/>
          <w:szCs w:val="22"/>
          <w:lang w:eastAsia="zh-CN"/>
        </w:rPr>
        <w:t>兴唐</w:t>
      </w:r>
      <w:r>
        <w:rPr>
          <w:rStyle w:val="20"/>
          <w:rFonts w:hint="eastAsia"/>
          <w:szCs w:val="22"/>
        </w:rPr>
        <w:t>街道</w:t>
      </w:r>
      <w:r>
        <w:rPr>
          <w:rStyle w:val="20"/>
          <w:rFonts w:hint="eastAsia"/>
        </w:rPr>
        <w:t>公共法律服务领域基层政务公开标准目录</w:t>
      </w:r>
      <w:bookmarkEnd w:id="12"/>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jc w:val="center"/>
              <w:rPr>
                <w:rFonts w:ascii="黑体" w:hAnsi="宋体" w:eastAsia="黑体" w:cs="黑体"/>
                <w:color w:val="000000"/>
                <w:sz w:val="18"/>
                <w:szCs w:val="18"/>
              </w:rPr>
            </w:pPr>
          </w:p>
        </w:tc>
        <w:tc>
          <w:tcPr>
            <w:tcW w:w="1075"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vAlign w:val="center"/>
          </w:tcPr>
          <w:p>
            <w:pPr>
              <w:jc w:val="center"/>
              <w:rPr>
                <w:rFonts w:ascii="黑体" w:hAnsi="宋体" w:eastAsia="黑体" w:cs="黑体"/>
                <w:color w:val="000000"/>
                <w:sz w:val="18"/>
                <w:szCs w:val="18"/>
              </w:rPr>
            </w:pPr>
          </w:p>
        </w:tc>
        <w:tc>
          <w:tcPr>
            <w:tcW w:w="1380" w:type="dxa"/>
            <w:vMerge w:val="continue"/>
            <w:vAlign w:val="center"/>
          </w:tcPr>
          <w:p>
            <w:pPr>
              <w:jc w:val="center"/>
              <w:rPr>
                <w:rFonts w:ascii="黑体" w:hAnsi="宋体" w:eastAsia="黑体" w:cs="黑体"/>
                <w:color w:val="000000"/>
                <w:sz w:val="18"/>
                <w:szCs w:val="18"/>
              </w:rPr>
            </w:pPr>
          </w:p>
        </w:tc>
        <w:tc>
          <w:tcPr>
            <w:tcW w:w="832" w:type="dxa"/>
            <w:vMerge w:val="continue"/>
            <w:vAlign w:val="center"/>
          </w:tcPr>
          <w:p>
            <w:pPr>
              <w:jc w:val="center"/>
              <w:rPr>
                <w:rFonts w:ascii="黑体" w:hAnsi="宋体" w:eastAsia="黑体" w:cs="黑体"/>
                <w:color w:val="000000"/>
                <w:sz w:val="18"/>
                <w:szCs w:val="18"/>
              </w:rPr>
            </w:pPr>
          </w:p>
        </w:tc>
        <w:tc>
          <w:tcPr>
            <w:tcW w:w="924" w:type="dxa"/>
            <w:vMerge w:val="continue"/>
            <w:vAlign w:val="center"/>
          </w:tcPr>
          <w:p>
            <w:pPr>
              <w:jc w:val="center"/>
              <w:rPr>
                <w:rFonts w:ascii="黑体" w:hAnsi="宋体" w:eastAsia="黑体" w:cs="黑体"/>
                <w:color w:val="000000"/>
                <w:sz w:val="18"/>
                <w:szCs w:val="18"/>
              </w:rPr>
            </w:pPr>
          </w:p>
        </w:tc>
        <w:tc>
          <w:tcPr>
            <w:tcW w:w="2654" w:type="dxa"/>
            <w:vMerge w:val="continue"/>
            <w:vAlign w:val="center"/>
          </w:tcPr>
          <w:p>
            <w:pPr>
              <w:jc w:val="center"/>
              <w:rPr>
                <w:rFonts w:ascii="黑体" w:hAnsi="宋体" w:eastAsia="黑体" w:cs="黑体"/>
                <w:color w:val="000000"/>
                <w:sz w:val="18"/>
                <w:szCs w:val="18"/>
              </w:rPr>
            </w:pP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法律咨询</w:t>
            </w:r>
          </w:p>
          <w:p>
            <w:pPr>
              <w:jc w:val="center"/>
              <w:rPr>
                <w:rFonts w:asci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vAlign w:val="center"/>
          </w:tcPr>
          <w:p>
            <w:pPr>
              <w:jc w:val="center"/>
              <w:rPr>
                <w:rFonts w:ascii="宋体" w:cs="宋体"/>
                <w:color w:val="000000"/>
                <w:sz w:val="18"/>
                <w:szCs w:val="18"/>
              </w:rPr>
            </w:pP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5" w:hRule="atLeast"/>
        </w:trPr>
        <w:tc>
          <w:tcPr>
            <w:tcW w:w="441" w:type="dxa"/>
            <w:vAlign w:val="center"/>
          </w:tcPr>
          <w:p>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hint="eastAsia" w:ascii="宋体" w:hAns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spacing w:line="220" w:lineRule="exact"/>
      </w:pPr>
    </w:p>
    <w:p>
      <w:pPr>
        <w:pStyle w:val="2"/>
        <w:spacing w:before="0" w:after="0" w:line="240" w:lineRule="auto"/>
        <w:ind w:firstLine="1767" w:firstLineChars="400"/>
        <w:jc w:val="both"/>
      </w:pPr>
      <w:bookmarkStart w:id="13" w:name="_Toc5288"/>
      <w:r>
        <w:rPr>
          <w:rFonts w:hint="eastAsia"/>
          <w:lang w:eastAsia="zh-CN"/>
        </w:rPr>
        <w:t>兴唐</w:t>
      </w:r>
      <w:r>
        <w:rPr>
          <w:rFonts w:hint="eastAsia"/>
        </w:rPr>
        <w:t>街道社会救助领域基层政务公开标准目录</w:t>
      </w:r>
      <w:bookmarkEnd w:id="13"/>
    </w:p>
    <w:tbl>
      <w:tblPr>
        <w:tblStyle w:val="1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38"/>
        <w:gridCol w:w="744"/>
        <w:gridCol w:w="2305"/>
        <w:gridCol w:w="1679"/>
        <w:gridCol w:w="1195"/>
        <w:gridCol w:w="1251"/>
        <w:gridCol w:w="2803"/>
        <w:gridCol w:w="635"/>
        <w:gridCol w:w="617"/>
        <w:gridCol w:w="514"/>
        <w:gridCol w:w="595"/>
        <w:gridCol w:w="571"/>
        <w:gridCol w:w="40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pPr>
              <w:spacing w:line="240" w:lineRule="exact"/>
              <w:jc w:val="center"/>
              <w:rPr>
                <w:rFonts w:ascii="仿宋_GB2312" w:eastAsia="仿宋_GB2312" w:cs="仿宋_GB2312"/>
                <w:sz w:val="18"/>
                <w:szCs w:val="18"/>
              </w:rPr>
            </w:p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pPr>
              <w:spacing w:line="240" w:lineRule="exact"/>
              <w:jc w:val="center"/>
              <w:rPr>
                <w:rFonts w:ascii="仿宋_GB2312" w:eastAsia="仿宋_GB2312" w:cs="仿宋_GB2312"/>
                <w:sz w:val="18"/>
                <w:szCs w:val="18"/>
              </w:rPr>
            </w:pPr>
          </w:p>
        </w:tc>
        <w:tc>
          <w:tcPr>
            <w:tcW w:w="557" w:type="pct"/>
            <w:vMerge w:val="continue"/>
            <w:vAlign w:val="center"/>
          </w:tcPr>
          <w:p>
            <w:pPr>
              <w:spacing w:line="240" w:lineRule="exact"/>
              <w:jc w:val="center"/>
              <w:rPr>
                <w:rFonts w:ascii="仿宋_GB2312" w:eastAsia="仿宋_GB2312" w:cs="仿宋_GB2312"/>
                <w:sz w:val="18"/>
                <w:szCs w:val="18"/>
              </w:rPr>
            </w:pPr>
          </w:p>
        </w:tc>
        <w:tc>
          <w:tcPr>
            <w:tcW w:w="397" w:type="pct"/>
            <w:vMerge w:val="continue"/>
            <w:vAlign w:val="center"/>
          </w:tcPr>
          <w:p>
            <w:pPr>
              <w:spacing w:line="240" w:lineRule="exact"/>
              <w:jc w:val="center"/>
              <w:rPr>
                <w:rFonts w:ascii="仿宋_GB2312" w:eastAsia="仿宋_GB2312" w:cs="仿宋_GB2312"/>
                <w:sz w:val="18"/>
                <w:szCs w:val="18"/>
              </w:rPr>
            </w:pPr>
          </w:p>
        </w:tc>
        <w:tc>
          <w:tcPr>
            <w:tcW w:w="416" w:type="pct"/>
            <w:vMerge w:val="continue"/>
            <w:vAlign w:val="center"/>
          </w:tcPr>
          <w:p>
            <w:pPr>
              <w:spacing w:line="240" w:lineRule="exact"/>
              <w:jc w:val="center"/>
              <w:rPr>
                <w:rFonts w:ascii="仿宋_GB2312" w:eastAsia="仿宋_GB2312" w:cs="仿宋_GB2312"/>
                <w:sz w:val="18"/>
                <w:szCs w:val="18"/>
              </w:rPr>
            </w:pPr>
          </w:p>
        </w:tc>
        <w:tc>
          <w:tcPr>
            <w:tcW w:w="931" w:type="pct"/>
            <w:vMerge w:val="continue"/>
            <w:vAlign w:val="center"/>
          </w:tcPr>
          <w:p>
            <w:pPr>
              <w:spacing w:line="240" w:lineRule="exact"/>
              <w:jc w:val="center"/>
              <w:rPr>
                <w:rFonts w:ascii="仿宋_GB2312" w:eastAsia="仿宋_GB2312" w:cs="仿宋_GB2312"/>
                <w:sz w:val="18"/>
                <w:szCs w:val="18"/>
              </w:rPr>
            </w:p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县级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 xml:space="preserve">1 </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2</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3</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4</w:t>
            </w:r>
          </w:p>
        </w:tc>
        <w:tc>
          <w:tcPr>
            <w:tcW w:w="245" w:type="pct"/>
            <w:vMerge w:val="restar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5</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bookmarkStart w:id="14" w:name="_Toc9171"/>
      <w:r>
        <w:rPr>
          <w:rStyle w:val="20"/>
          <w:rFonts w:hint="eastAsia"/>
          <w:szCs w:val="22"/>
          <w:lang w:eastAsia="zh-CN"/>
        </w:rPr>
        <w:t>兴唐</w:t>
      </w:r>
      <w:r>
        <w:rPr>
          <w:rStyle w:val="20"/>
          <w:rFonts w:hint="eastAsia"/>
          <w:szCs w:val="22"/>
        </w:rPr>
        <w:t>街道养</w:t>
      </w:r>
      <w:r>
        <w:rPr>
          <w:rStyle w:val="20"/>
          <w:rFonts w:hint="eastAsia"/>
        </w:rPr>
        <w:t>老服务领域基层政务公开标准目录</w:t>
      </w:r>
      <w:bookmarkEnd w:id="14"/>
    </w:p>
    <w:tbl>
      <w:tblPr>
        <w:tblStyle w:val="12"/>
        <w:tblW w:w="14908" w:type="dxa"/>
        <w:jc w:val="center"/>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序</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公开内容</w:t>
            </w:r>
            <w:r>
              <w:rPr>
                <w:rFonts w:ascii="仿宋_GB2312" w:hAnsi="宋体" w:eastAsia="仿宋_GB2312" w:cs="宋体"/>
                <w:bCs/>
                <w:color w:val="000000"/>
                <w:kern w:val="0"/>
                <w:sz w:val="18"/>
                <w:szCs w:val="18"/>
              </w:rPr>
              <w:br w:type="textWrapping"/>
            </w:r>
            <w:r>
              <w:rPr>
                <w:rFonts w:ascii="仿宋_GB2312" w:hAnsi="宋体" w:eastAsia="仿宋_GB2312" w:cs="宋体"/>
                <w:bCs/>
                <w:color w:val="000000"/>
                <w:kern w:val="0"/>
                <w:sz w:val="18"/>
                <w:szCs w:val="18"/>
              </w:rPr>
              <w:t>(</w:t>
            </w:r>
            <w:r>
              <w:rPr>
                <w:rFonts w:hint="eastAsia" w:ascii="仿宋_GB2312" w:hAnsi="宋体" w:eastAsia="仿宋_GB2312" w:cs="宋体"/>
                <w:bCs/>
                <w:color w:val="000000"/>
                <w:kern w:val="0"/>
                <w:sz w:val="18"/>
                <w:szCs w:val="18"/>
              </w:rPr>
              <w:t>要素</w:t>
            </w:r>
            <w:r>
              <w:rPr>
                <w:rFonts w:ascii="仿宋_GB2312" w:hAnsi="宋体"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公开层级</w:t>
            </w:r>
          </w:p>
        </w:tc>
      </w:tr>
      <w:tr>
        <w:tblPrEx>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7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一级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二级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县级</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乡级</w:t>
            </w:r>
          </w:p>
        </w:tc>
      </w:tr>
      <w:tr>
        <w:tblPrEx>
          <w:tblCellMar>
            <w:top w:w="0" w:type="dxa"/>
            <w:left w:w="108" w:type="dxa"/>
            <w:bottom w:w="0" w:type="dxa"/>
            <w:right w:w="108" w:type="dxa"/>
          </w:tblCellMar>
        </w:tblPrEx>
        <w:trPr>
          <w:trHeight w:val="1687"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71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养老服务行业管理信息养老服务行业管理信息养老服务业务办理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老年人补贴名称（高龄津贴、养老服务补贴、护理补贴等）</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各项老年人补贴依据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各项老年人补贴对象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各项老年人补贴内容和标准</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各项老年人补贴方式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补贴申请材料清单及格式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办理部门</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办理时间、地点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w:t>
            </w:r>
            <w:r>
              <w:rPr>
                <w:rFonts w:hint="eastAsia" w:ascii="仿宋_GB2312" w:hAnsi="仿宋_GB2312" w:eastAsia="仿宋_GB2312" w:cs="仿宋_GB2312"/>
                <w:sz w:val="18"/>
                <w:szCs w:val="18"/>
              </w:rPr>
              <w:t>（中国人民共和国国务院令第</w:t>
            </w:r>
            <w:r>
              <w:rPr>
                <w:rFonts w:ascii="仿宋_GB2312" w:hAnsi="仿宋_GB2312" w:eastAsia="仿宋_GB2312" w:cs="仿宋_GB2312"/>
                <w:sz w:val="18"/>
                <w:szCs w:val="18"/>
              </w:rPr>
              <w:t>711</w:t>
            </w:r>
            <w:r>
              <w:rPr>
                <w:rFonts w:hint="eastAsia" w:ascii="仿宋_GB2312" w:hAns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制定或获取补贴政策之日起</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（电子屏）</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15" w:name="_Toc13120"/>
      <w:bookmarkStart w:id="16" w:name="_Toc28731_WPSOffice_Level1"/>
      <w:bookmarkStart w:id="17" w:name="_Toc25438_WPSOffice_Level1"/>
      <w:bookmarkStart w:id="18" w:name="_Toc2682"/>
      <w:bookmarkStart w:id="19" w:name="河南省食品药品监管领域基层政务公开标准目录"/>
      <w:r>
        <w:rPr>
          <w:rStyle w:val="20"/>
          <w:rFonts w:hint="eastAsia"/>
          <w:szCs w:val="22"/>
          <w:lang w:eastAsia="zh-CN"/>
        </w:rPr>
        <w:t>兴唐</w:t>
      </w:r>
      <w:r>
        <w:rPr>
          <w:rStyle w:val="20"/>
          <w:rFonts w:hint="eastAsia"/>
          <w:szCs w:val="22"/>
        </w:rPr>
        <w:t>街道食</w:t>
      </w:r>
      <w:r>
        <w:rPr>
          <w:rStyle w:val="20"/>
          <w:rFonts w:hint="eastAsia"/>
        </w:rPr>
        <w:t>品药品监管领域基层政务公开标准目录</w:t>
      </w:r>
      <w:bookmarkEnd w:id="15"/>
      <w:bookmarkEnd w:id="16"/>
      <w:bookmarkEnd w:id="17"/>
      <w:bookmarkEnd w:id="18"/>
    </w:p>
    <w:bookmarkEnd w:id="19"/>
    <w:tbl>
      <w:tblPr>
        <w:tblStyle w:val="12"/>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公开内容</w:t>
            </w:r>
            <w:r>
              <w:rPr>
                <w:rFonts w:ascii="宋体" w:cs="宋体"/>
                <w:color w:val="000000"/>
                <w:kern w:val="0"/>
                <w:sz w:val="18"/>
                <w:szCs w:val="18"/>
              </w:rPr>
              <w:br w:type="textWrapping"/>
            </w:r>
            <w:r>
              <w:rPr>
                <w:rFonts w:hint="eastAsia" w:ascii="宋体" w:hAns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一级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二级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三级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1684"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24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7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90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315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县级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监督</w:t>
            </w:r>
            <w:r>
              <w:rPr>
                <w:rFonts w:ascii="宋体" w:cs="宋体"/>
                <w:color w:val="000000"/>
                <w:kern w:val="0"/>
                <w:sz w:val="18"/>
                <w:szCs w:val="18"/>
              </w:rPr>
              <w:br w:type="textWrapping"/>
            </w:r>
            <w:r>
              <w:rPr>
                <w:rFonts w:hint="eastAsia" w:ascii="宋体" w:hAns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2.1</w:t>
            </w:r>
            <w:r>
              <w:rPr>
                <w:rFonts w:hint="eastAsia" w:ascii="宋体" w:hAns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信息形成或变更之日起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4.1</w:t>
            </w:r>
            <w:r>
              <w:rPr>
                <w:rFonts w:hint="eastAsia" w:ascii="宋体" w:hAns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4.2</w:t>
            </w:r>
            <w:r>
              <w:rPr>
                <w:rFonts w:hint="eastAsia" w:ascii="宋体" w:hAns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r>
              <w:rPr>
                <w:rFonts w:ascii="宋体" w:hAns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4</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5</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4.4</w:t>
            </w:r>
            <w:r>
              <w:rPr>
                <w:rFonts w:hint="eastAsia" w:ascii="宋体" w:hAns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hAnsi="Times New Roman"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hAnsi="Times New Roman"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hAnsi="Times New Roman"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bookmarkStart w:id="20" w:name="_Toc25634"/>
      <w:r>
        <w:rPr>
          <w:rStyle w:val="20"/>
          <w:rFonts w:hint="eastAsia"/>
          <w:lang w:eastAsia="zh-CN"/>
        </w:rPr>
        <w:t>兴唐</w:t>
      </w:r>
      <w:r>
        <w:rPr>
          <w:rStyle w:val="20"/>
          <w:rFonts w:hint="eastAsia"/>
        </w:rPr>
        <w:t>街道就业领域基层政务公开目录</w:t>
      </w:r>
      <w:bookmarkEnd w:id="20"/>
    </w:p>
    <w:tbl>
      <w:tblPr>
        <w:tblStyle w:val="12"/>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2031"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　</w:t>
            </w:r>
          </w:p>
        </w:tc>
        <w:tc>
          <w:tcPr>
            <w:tcW w:w="1749"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23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11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公开时限</w:t>
            </w:r>
          </w:p>
        </w:tc>
        <w:tc>
          <w:tcPr>
            <w:tcW w:w="823"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公开主体</w:t>
            </w:r>
          </w:p>
        </w:tc>
        <w:tc>
          <w:tcPr>
            <w:tcW w:w="26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230"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1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958" w:type="dxa"/>
            <w:gridSpan w:val="2"/>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pPr>
              <w:widowControl/>
              <w:jc w:val="left"/>
              <w:rPr>
                <w:rFonts w:ascii="仿宋_GB2312" w:hAnsi="宋体" w:eastAsia="仿宋_GB2312" w:cs="宋体"/>
                <w:kern w:val="0"/>
                <w:sz w:val="18"/>
                <w:szCs w:val="18"/>
              </w:rPr>
            </w:pPr>
          </w:p>
        </w:tc>
        <w:tc>
          <w:tcPr>
            <w:tcW w:w="73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二级事项</w:t>
            </w:r>
          </w:p>
        </w:tc>
        <w:tc>
          <w:tcPr>
            <w:tcW w:w="666"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49" w:type="dxa"/>
            <w:vMerge w:val="continue"/>
            <w:vAlign w:val="center"/>
          </w:tcPr>
          <w:p>
            <w:pPr>
              <w:widowControl/>
              <w:jc w:val="left"/>
              <w:rPr>
                <w:rFonts w:ascii="仿宋_GB2312" w:hAnsi="宋体" w:eastAsia="仿宋_GB2312" w:cs="宋体"/>
                <w:color w:val="000000"/>
                <w:kern w:val="0"/>
                <w:sz w:val="18"/>
                <w:szCs w:val="18"/>
              </w:rPr>
            </w:pPr>
          </w:p>
        </w:tc>
        <w:tc>
          <w:tcPr>
            <w:tcW w:w="2321" w:type="dxa"/>
            <w:vMerge w:val="continue"/>
            <w:vAlign w:val="center"/>
          </w:tcPr>
          <w:p>
            <w:pPr>
              <w:widowControl/>
              <w:jc w:val="left"/>
              <w:rPr>
                <w:rFonts w:ascii="仿宋_GB2312" w:hAnsi="宋体" w:eastAsia="仿宋_GB2312" w:cs="宋体"/>
                <w:color w:val="000000"/>
                <w:kern w:val="0"/>
                <w:sz w:val="18"/>
                <w:szCs w:val="18"/>
              </w:rPr>
            </w:pPr>
          </w:p>
        </w:tc>
        <w:tc>
          <w:tcPr>
            <w:tcW w:w="1172" w:type="dxa"/>
            <w:vMerge w:val="continue"/>
            <w:vAlign w:val="center"/>
          </w:tcPr>
          <w:p>
            <w:pPr>
              <w:widowControl/>
              <w:jc w:val="left"/>
              <w:rPr>
                <w:rFonts w:ascii="仿宋_GB2312" w:hAnsi="宋体" w:eastAsia="仿宋_GB2312" w:cs="宋体"/>
                <w:color w:val="000000"/>
                <w:kern w:val="0"/>
                <w:sz w:val="18"/>
                <w:szCs w:val="18"/>
              </w:rPr>
            </w:pPr>
          </w:p>
        </w:tc>
        <w:tc>
          <w:tcPr>
            <w:tcW w:w="823" w:type="dxa"/>
            <w:vMerge w:val="continue"/>
            <w:vAlign w:val="center"/>
          </w:tcPr>
          <w:p>
            <w:pPr>
              <w:widowControl/>
              <w:jc w:val="left"/>
              <w:rPr>
                <w:rFonts w:ascii="仿宋_GB2312" w:hAnsi="宋体" w:eastAsia="仿宋_GB2312" w:cs="宋体"/>
                <w:color w:val="000000"/>
                <w:kern w:val="0"/>
                <w:sz w:val="18"/>
                <w:szCs w:val="18"/>
              </w:rPr>
            </w:pPr>
          </w:p>
        </w:tc>
        <w:tc>
          <w:tcPr>
            <w:tcW w:w="2672"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433"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就业政策法规咨询</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就业创业政策项目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政策申请条件</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政策申请材料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办理地点（方式）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岗位信息发布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招聘单位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岗位要求</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福利待遇</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招聘流程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应聘方式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r>
              <w:rPr>
                <w:rFonts w:hint="eastAsia" w:ascii="仿宋_GB2312" w:hAnsi="宋体" w:eastAsia="仿宋_GB2312" w:cs="宋体"/>
                <w:color w:val="000000"/>
                <w:kern w:val="0"/>
                <w:sz w:val="18"/>
                <w:szCs w:val="18"/>
              </w:rPr>
              <w:t>求职信息登记</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r>
              <w:rPr>
                <w:rFonts w:hint="eastAsia" w:ascii="仿宋_GB2312" w:hAnsi="宋体" w:eastAsia="仿宋_GB2312" w:cs="宋体"/>
                <w:color w:val="000000"/>
                <w:kern w:val="0"/>
                <w:sz w:val="18"/>
                <w:szCs w:val="18"/>
              </w:rPr>
              <w:t>市场工资指导价位信息发布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市场工资指导价位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相关说明材料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r>
              <w:rPr>
                <w:rFonts w:hint="eastAsia" w:ascii="仿宋_GB2312" w:hAnsi="宋体"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培训项目</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培训内容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培训课时</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授课地点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补贴标准</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报名材料</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报名地点（方式）</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r>
              <w:rPr>
                <w:rFonts w:hint="eastAsia" w:ascii="仿宋_GB2312" w:hAnsi="宋体" w:eastAsia="仿宋_GB2312" w:cs="宋体"/>
                <w:color w:val="000000"/>
                <w:kern w:val="0"/>
                <w:sz w:val="18"/>
                <w:szCs w:val="18"/>
              </w:rPr>
              <w:t>职业介绍</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35" w:type="dxa"/>
            <w:vMerge w:val="restart"/>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r>
              <w:rPr>
                <w:rFonts w:hint="eastAsia" w:ascii="仿宋_GB2312" w:hAnsi="宋体" w:eastAsia="仿宋_GB2312" w:cs="宋体"/>
                <w:color w:val="000000"/>
                <w:kern w:val="0"/>
                <w:sz w:val="18"/>
                <w:szCs w:val="18"/>
              </w:rPr>
              <w:t>职业指导</w:t>
            </w:r>
          </w:p>
        </w:tc>
        <w:tc>
          <w:tcPr>
            <w:tcW w:w="666"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35" w:type="dxa"/>
            <w:vMerge w:val="continue"/>
            <w:vAlign w:val="center"/>
          </w:tcPr>
          <w:p>
            <w:pPr>
              <w:widowControl/>
              <w:spacing w:line="260" w:lineRule="exact"/>
              <w:jc w:val="left"/>
              <w:rPr>
                <w:rFonts w:ascii="仿宋_GB2312" w:hAnsi="宋体" w:eastAsia="仿宋_GB2312" w:cs="宋体"/>
                <w:color w:val="000000"/>
                <w:kern w:val="0"/>
                <w:sz w:val="18"/>
                <w:szCs w:val="18"/>
              </w:rPr>
            </w:pPr>
          </w:p>
        </w:tc>
        <w:tc>
          <w:tcPr>
            <w:tcW w:w="630"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创业开业指导</w:t>
            </w:r>
          </w:p>
        </w:tc>
        <w:tc>
          <w:tcPr>
            <w:tcW w:w="666" w:type="dxa"/>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服务内容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服务对象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服务时间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服务地点（方式）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9</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r>
              <w:rPr>
                <w:rFonts w:hint="eastAsia" w:ascii="仿宋_GB2312" w:hAnsi="宋体"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活动通知</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活动时间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参与方式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相关材料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活动地址</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申请人权利和义务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11</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12</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4.3</w:t>
            </w:r>
            <w:r>
              <w:rPr>
                <w:rFonts w:hint="eastAsia" w:ascii="仿宋_GB2312" w:hAnsi="宋体" w:eastAsia="仿宋_GB2312" w:cs="宋体"/>
                <w:kern w:val="0"/>
                <w:sz w:val="18"/>
                <w:szCs w:val="18"/>
              </w:rPr>
              <w:t>《就业创业证》申领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证件使用注意事项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证件送达方式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开业补贴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pPr>
              <w:widowControl/>
              <w:spacing w:line="280" w:lineRule="exact"/>
              <w:jc w:val="left"/>
              <w:rPr>
                <w:rFonts w:ascii="仿宋_GB2312" w:hAnsi="宋体" w:eastAsia="仿宋_GB2312" w:cs="宋体"/>
                <w:kern w:val="0"/>
                <w:sz w:val="18"/>
                <w:szCs w:val="18"/>
              </w:rPr>
            </w:pP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left"/>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运营补贴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center"/>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5.1.4</w:t>
            </w:r>
            <w:r>
              <w:rPr>
                <w:rFonts w:hint="eastAsia" w:ascii="仿宋_GB2312" w:hAnsi="宋体"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5.1.5</w:t>
            </w:r>
            <w:r>
              <w:rPr>
                <w:rFonts w:hint="eastAsia" w:ascii="仿宋_GB2312" w:hAnsi="宋体" w:eastAsia="仿宋_GB2312" w:cs="宋体"/>
                <w:kern w:val="0"/>
                <w:sz w:val="18"/>
                <w:szCs w:val="18"/>
              </w:rPr>
              <w:t>孵化成果补贴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14</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创业担保贷款申请</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贷款额度</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就业困难人员认定</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16</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17</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公益性岗位补贴申领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18</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6.4.1</w:t>
            </w:r>
            <w:r>
              <w:rPr>
                <w:rFonts w:hint="eastAsia" w:ascii="仿宋_GB2312" w:hAnsi="宋体"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19</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奖补标准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就业见习补贴申领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r>
              <w:rPr>
                <w:rFonts w:hint="eastAsia" w:ascii="仿宋_GB2312" w:hAnsi="宋体" w:eastAsia="仿宋_GB2312" w:cs="宋体"/>
                <w:kern w:val="0"/>
                <w:sz w:val="18"/>
                <w:szCs w:val="18"/>
              </w:rPr>
              <w:t>1</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8.1</w:t>
            </w:r>
            <w:r>
              <w:rPr>
                <w:rFonts w:hint="eastAsia" w:ascii="仿宋_GB2312" w:hAnsi="宋体"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购买项目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购买内容及评价标准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购买主体</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承接主体条件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购买方式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购买流程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受理地点（方式）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受理结果告知方式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11.</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bl>
    <w:p>
      <w:pPr>
        <w:spacing w:line="220" w:lineRule="exact"/>
      </w:pPr>
    </w:p>
    <w:p>
      <w:pPr>
        <w:spacing w:line="220" w:lineRule="exact"/>
      </w:pPr>
      <w:r>
        <w:br w:type="page"/>
      </w:r>
    </w:p>
    <w:p>
      <w:pPr>
        <w:spacing w:line="220" w:lineRule="exact"/>
      </w:pPr>
    </w:p>
    <w:p>
      <w:pPr>
        <w:spacing w:line="220" w:lineRule="exact"/>
      </w:pPr>
    </w:p>
    <w:p>
      <w:pPr>
        <w:pStyle w:val="2"/>
        <w:spacing w:before="0" w:after="0" w:line="240" w:lineRule="auto"/>
      </w:pPr>
      <w:bookmarkStart w:id="21" w:name="_Toc12847"/>
      <w:r>
        <w:rPr>
          <w:rFonts w:hint="eastAsia"/>
          <w:lang w:eastAsia="zh-CN"/>
        </w:rPr>
        <w:t>兴唐</w:t>
      </w:r>
      <w:r>
        <w:rPr>
          <w:rFonts w:hint="eastAsia"/>
        </w:rPr>
        <w:t>街道社会保险领域基层政务公开目录</w:t>
      </w:r>
      <w:bookmarkEnd w:id="21"/>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27</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pStyle w:val="11"/>
        <w:rPr>
          <w:rFonts w:ascii="方正小标宋简体" w:eastAsia="方正小标宋简体"/>
        </w:rPr>
      </w:pPr>
      <w:r>
        <w:br w:type="page"/>
      </w:r>
      <w:bookmarkStart w:id="22" w:name="_Toc17089"/>
      <w:bookmarkStart w:id="23" w:name="河南省户籍管理领域基层政务公开标准指引目录"/>
      <w:bookmarkStart w:id="24" w:name="_Toc26279_WPSOffice_Level1"/>
      <w:bookmarkStart w:id="25" w:name="_Toc27488"/>
      <w:bookmarkStart w:id="26" w:name="_Toc9985_WPSOffice_Level1"/>
      <w:bookmarkStart w:id="27" w:name="_Toc45118098"/>
      <w:r>
        <w:rPr>
          <w:rFonts w:hint="eastAsia"/>
          <w:lang w:eastAsia="zh-CN"/>
        </w:rPr>
        <w:t>兴唐</w:t>
      </w:r>
      <w:r>
        <w:rPr>
          <w:rFonts w:hint="eastAsia"/>
        </w:rPr>
        <w:t>街道</w:t>
      </w:r>
      <w:r>
        <w:rPr>
          <w:rFonts w:hint="eastAsia" w:ascii="Calibri" w:hAnsi="Calibri" w:eastAsia="宋体"/>
          <w:b/>
          <w:kern w:val="44"/>
          <w:szCs w:val="44"/>
        </w:rPr>
        <w:t>户籍管理领域基层政务公开标准目录</w:t>
      </w:r>
      <w:bookmarkEnd w:id="22"/>
      <w:bookmarkEnd w:id="23"/>
      <w:bookmarkEnd w:id="24"/>
      <w:bookmarkEnd w:id="25"/>
      <w:bookmarkEnd w:id="26"/>
      <w:bookmarkEnd w:id="27"/>
    </w:p>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《中华人民共和国国籍法》</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非主要项目变更更正</w:t>
            </w:r>
            <w:r>
              <w:rPr>
                <w:rFonts w:ascii="仿宋_GB2312" w:hAnsi="宋体"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《公安部关于印发</w:t>
            </w:r>
            <w:r>
              <w:rPr>
                <w:rFonts w:ascii="仿宋_GB2312" w:hAnsi="宋体" w:eastAsia="仿宋_GB2312" w:cs="宋体"/>
                <w:color w:val="000000"/>
                <w:kern w:val="0"/>
                <w:sz w:val="18"/>
                <w:szCs w:val="18"/>
              </w:rPr>
              <w:t>&lt;</w:t>
            </w:r>
            <w:r>
              <w:rPr>
                <w:rFonts w:hint="eastAsia" w:ascii="仿宋_GB2312" w:hAnsi="宋体" w:eastAsia="仿宋_GB2312" w:cs="宋体"/>
                <w:color w:val="000000"/>
                <w:kern w:val="0"/>
                <w:sz w:val="18"/>
                <w:szCs w:val="18"/>
              </w:rPr>
              <w:t>关于建立居民身份证异地受理挂失申报和丢失招领制度的意见</w:t>
            </w:r>
            <w:r>
              <w:rPr>
                <w:rFonts w:ascii="仿宋_GB2312" w:hAnsi="宋体" w:eastAsia="仿宋_GB2312" w:cs="宋体"/>
                <w:color w:val="000000"/>
                <w:kern w:val="0"/>
                <w:sz w:val="18"/>
                <w:szCs w:val="18"/>
              </w:rPr>
              <w:t>&gt;</w:t>
            </w:r>
            <w:r>
              <w:rPr>
                <w:rFonts w:hint="eastAsia" w:ascii="仿宋_GB2312" w:hAnsi="宋体"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rPr>
          <w:rFonts w:ascii="微软雅黑" w:eastAsia="微软雅黑" w:cs="宋体"/>
          <w:b/>
          <w:bCs/>
          <w:color w:val="000000"/>
          <w:kern w:val="36"/>
          <w:sz w:val="44"/>
          <w:szCs w:val="44"/>
        </w:rPr>
      </w:pPr>
      <w:bookmarkStart w:id="28" w:name="OLE_LINK1"/>
    </w:p>
    <w:bookmarkEnd w:id="28"/>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29" w:name="_Toc14407"/>
      <w:bookmarkStart w:id="30" w:name="_Toc14238_WPSOffice_Level1"/>
      <w:bookmarkStart w:id="31" w:name="_Toc16169_WPSOffice_Level1"/>
      <w:bookmarkStart w:id="32" w:name="_Toc17778"/>
      <w:bookmarkStart w:id="33" w:name="义务教育领域基层政务公开标准目录"/>
      <w:r>
        <w:rPr>
          <w:rStyle w:val="20"/>
          <w:rFonts w:hint="eastAsia"/>
          <w:szCs w:val="22"/>
          <w:lang w:eastAsia="zh-CN"/>
        </w:rPr>
        <w:t>兴唐</w:t>
      </w:r>
      <w:r>
        <w:rPr>
          <w:rStyle w:val="20"/>
          <w:rFonts w:hint="eastAsia"/>
          <w:szCs w:val="22"/>
        </w:rPr>
        <w:t>街道义务</w:t>
      </w:r>
      <w:r>
        <w:rPr>
          <w:rStyle w:val="20"/>
          <w:rFonts w:hint="eastAsia"/>
        </w:rPr>
        <w:t>教育领域基层政务公开标准目录</w:t>
      </w:r>
      <w:bookmarkEnd w:id="29"/>
      <w:bookmarkEnd w:id="30"/>
      <w:bookmarkEnd w:id="31"/>
      <w:bookmarkEnd w:id="32"/>
    </w:p>
    <w:bookmarkEnd w:id="33"/>
    <w:tbl>
      <w:tblPr>
        <w:tblStyle w:val="12"/>
        <w:tblW w:w="14273" w:type="dxa"/>
        <w:jc w:val="center"/>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●财务管理及监督办法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●年度经费预决算信息</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办学性质</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办学地点</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办学规模</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办学基本条件</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766"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●评审政策</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●评审通知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●学校拟推荐人选名单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●评审结果</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信息形成（变更）</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个工作日内，公示时间不少于</w:t>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760" w:lineRule="exact"/>
        <w:jc w:val="center"/>
        <w:rPr>
          <w:rFonts w:ascii="黑体" w:eastAsia="黑体"/>
          <w:sz w:val="44"/>
          <w:szCs w:val="44"/>
        </w:rPr>
      </w:pPr>
      <w:bookmarkStart w:id="34" w:name="_Toc45118101"/>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pStyle w:val="2"/>
        <w:spacing w:before="0" w:after="0" w:line="240" w:lineRule="auto"/>
      </w:pPr>
      <w:bookmarkStart w:id="35" w:name="_Toc5943"/>
      <w:r>
        <w:rPr>
          <w:rFonts w:hint="eastAsia"/>
          <w:lang w:eastAsia="zh-CN"/>
        </w:rPr>
        <w:t>兴唐</w:t>
      </w:r>
      <w:r>
        <w:rPr>
          <w:rFonts w:hint="eastAsia"/>
        </w:rPr>
        <w:t>街道卫生健康领域基层政务公开标准目录（试行）</w:t>
      </w:r>
      <w:bookmarkEnd w:id="34"/>
      <w:bookmarkEnd w:id="35"/>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10"/>
        <w:gridCol w:w="1273"/>
        <w:gridCol w:w="711"/>
        <w:gridCol w:w="1696"/>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401" w:type="pct"/>
            <w:vMerge w:val="continue"/>
          </w:tcPr>
          <w:p>
            <w:pPr>
              <w:widowControl/>
              <w:spacing w:line="220" w:lineRule="exact"/>
              <w:jc w:val="center"/>
              <w:rPr>
                <w:rFonts w:ascii="仿宋_GB2312" w:eastAsia="仿宋_GB2312" w:cs="宋体"/>
                <w:b/>
                <w:color w:val="000000"/>
                <w:kern w:val="0"/>
                <w:sz w:val="18"/>
                <w:szCs w:val="18"/>
              </w:rPr>
            </w:pPr>
          </w:p>
        </w:tc>
        <w:tc>
          <w:tcPr>
            <w:tcW w:w="1104" w:type="pct"/>
            <w:vMerge w:val="continue"/>
          </w:tcPr>
          <w:p>
            <w:pPr>
              <w:widowControl/>
              <w:spacing w:line="220" w:lineRule="exact"/>
              <w:jc w:val="center"/>
              <w:rPr>
                <w:rFonts w:ascii="仿宋_GB2312" w:eastAsia="仿宋_GB2312" w:cs="宋体"/>
                <w:b/>
                <w:color w:val="000000"/>
                <w:kern w:val="0"/>
                <w:sz w:val="18"/>
                <w:szCs w:val="18"/>
              </w:rPr>
            </w:pPr>
          </w:p>
        </w:tc>
        <w:tc>
          <w:tcPr>
            <w:tcW w:w="853" w:type="pct"/>
            <w:vMerge w:val="continue"/>
          </w:tcPr>
          <w:p>
            <w:pPr>
              <w:widowControl/>
              <w:spacing w:line="220" w:lineRule="exact"/>
              <w:jc w:val="center"/>
              <w:rPr>
                <w:rFonts w:ascii="仿宋_GB2312" w:eastAsia="仿宋_GB2312" w:cs="宋体"/>
                <w:b/>
                <w:color w:val="000000"/>
                <w:kern w:val="0"/>
                <w:sz w:val="18"/>
                <w:szCs w:val="18"/>
              </w:rPr>
            </w:pPr>
          </w:p>
        </w:tc>
        <w:tc>
          <w:tcPr>
            <w:tcW w:w="451"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600" w:type="pct"/>
            <w:vMerge w:val="continue"/>
          </w:tcPr>
          <w:p>
            <w:pPr>
              <w:widowControl/>
              <w:spacing w:line="220" w:lineRule="exact"/>
              <w:jc w:val="center"/>
              <w:rPr>
                <w:rFonts w:ascii="仿宋_GB2312" w:eastAsia="仿宋_GB2312" w:cs="宋体"/>
                <w:b/>
                <w:color w:val="000000"/>
                <w:kern w:val="0"/>
                <w:sz w:val="18"/>
                <w:szCs w:val="18"/>
              </w:rPr>
            </w:p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县级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hAnsi="宋体"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hAnsi="宋体" w:eastAsia="仿宋_GB2312" w:cs="宋体"/>
                <w:b/>
                <w:bCs/>
                <w:color w:val="000000"/>
                <w:kern w:val="0"/>
                <w:sz w:val="18"/>
                <w:szCs w:val="18"/>
              </w:rPr>
              <w:t xml:space="preserve">08 </w:t>
            </w:r>
            <w:r>
              <w:rPr>
                <w:rFonts w:hint="eastAsia" w:ascii="仿宋_GB2312" w:hAnsi="宋体"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【部门规章及规范性文件】《国家卫生健康委办公厅关于做好生育登记服务工作的指导意见》（国卫办指导发〔</w:t>
            </w:r>
            <w:r>
              <w:rPr>
                <w:rFonts w:ascii="仿宋_GB2312" w:hAnsi="宋体" w:eastAsia="仿宋_GB2312" w:cs="宋体"/>
                <w:color w:val="000000"/>
                <w:kern w:val="0"/>
                <w:sz w:val="18"/>
                <w:szCs w:val="18"/>
              </w:rPr>
              <w:t>2016</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自信息形成或者变更之日起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县卫生健康行政部门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hAnsi="宋体" w:eastAsia="仿宋_GB2312" w:cs="宋体"/>
                <w:color w:val="000000"/>
                <w:kern w:val="0"/>
                <w:sz w:val="15"/>
                <w:szCs w:val="15"/>
              </w:rPr>
              <w:t>■政府网站　□政府公报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□两微一端　□发布会</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听证会</w:t>
            </w:r>
            <w:r>
              <w:rPr>
                <w:rFonts w:ascii="仿宋_GB2312" w:hAnsi="宋体" w:eastAsia="仿宋_GB2312" w:cs="宋体"/>
                <w:color w:val="000000"/>
                <w:kern w:val="0"/>
                <w:sz w:val="15"/>
                <w:szCs w:val="15"/>
              </w:rPr>
              <w:t xml:space="preserve">  </w:t>
            </w:r>
            <w:r>
              <w:rPr>
                <w:rFonts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□广播电视　□纸质媒体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□公开查阅点</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■便民服务站</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□入户</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现场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□社区</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企事业单位</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□精准推送　□其他</w:t>
            </w:r>
            <w:r>
              <w:rPr>
                <w:rFonts w:ascii="仿宋_GB2312" w:hAnsi="宋体"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办事指南，包括：适用范围、办理依据、办理条件、申办材料、办理方式、办理流程、办理时限</w:t>
            </w:r>
            <w:r>
              <w:rPr>
                <w:rFonts w:hint="eastAsia" w:ascii="仿宋_GB2312" w:hAnsi="宋体" w:eastAsia="仿宋_GB2312" w:cs="宋体"/>
                <w:kern w:val="0"/>
                <w:sz w:val="18"/>
                <w:szCs w:val="18"/>
              </w:rPr>
              <w:t>、结果送达、</w:t>
            </w:r>
            <w:r>
              <w:rPr>
                <w:rFonts w:hint="eastAsia" w:ascii="仿宋_GB2312" w:hAnsi="宋体" w:eastAsia="仿宋_GB2312" w:cs="宋体"/>
                <w:color w:val="000000"/>
                <w:kern w:val="0"/>
                <w:sz w:val="18"/>
                <w:szCs w:val="18"/>
              </w:rPr>
              <w:t>咨询方式、监督投诉渠道、办理地址和时间、办理进程、结果查询</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服务对象</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服务机构信息，包括名称、地点、服务时间</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服务项目和内容</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bl>
    <w:p>
      <w:pPr>
        <w:spacing w:line="220" w:lineRule="exact"/>
      </w:pPr>
    </w:p>
    <w:p>
      <w:pPr>
        <w:spacing w:line="220" w:lineRule="exact"/>
      </w:pPr>
    </w:p>
    <w:sectPr>
      <w:footerReference r:id="rId4" w:type="default"/>
      <w:footerReference r:id="rId5"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rPr>
        <w:rFonts w:cs="Times New Roman"/>
      </w:rPr>
    </w:lvl>
  </w:abstractNum>
  <w:abstractNum w:abstractNumId="1">
    <w:nsid w:val="04AE23D5"/>
    <w:multiLevelType w:val="multilevel"/>
    <w:tmpl w:val="04AE23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2">
    <w:nsid w:val="0C7E6415"/>
    <w:multiLevelType w:val="multilevel"/>
    <w:tmpl w:val="0C7E641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3">
    <w:nsid w:val="0F485EA5"/>
    <w:multiLevelType w:val="multilevel"/>
    <w:tmpl w:val="0F485EA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4">
    <w:nsid w:val="14123A1E"/>
    <w:multiLevelType w:val="multilevel"/>
    <w:tmpl w:val="14123A1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5">
    <w:nsid w:val="18F824F0"/>
    <w:multiLevelType w:val="multilevel"/>
    <w:tmpl w:val="18F824F0"/>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6">
    <w:nsid w:val="1FD42FAA"/>
    <w:multiLevelType w:val="multilevel"/>
    <w:tmpl w:val="1FD42FAA"/>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7">
    <w:nsid w:val="237E52C4"/>
    <w:multiLevelType w:val="multilevel"/>
    <w:tmpl w:val="237E52C4"/>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8">
    <w:nsid w:val="3C873BD5"/>
    <w:multiLevelType w:val="multilevel"/>
    <w:tmpl w:val="3C873B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9">
    <w:nsid w:val="3DD426B8"/>
    <w:multiLevelType w:val="multilevel"/>
    <w:tmpl w:val="3DD426B8"/>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0">
    <w:nsid w:val="502F6EDE"/>
    <w:multiLevelType w:val="multilevel"/>
    <w:tmpl w:val="502F6ED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1">
    <w:nsid w:val="514D4853"/>
    <w:multiLevelType w:val="multilevel"/>
    <w:tmpl w:val="514D4853"/>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rPr>
        <w:rFonts w:cs="Times New Roman"/>
      </w:rPr>
    </w:lvl>
  </w:abstractNum>
  <w:abstractNum w:abstractNumId="13">
    <w:nsid w:val="641F3559"/>
    <w:multiLevelType w:val="multilevel"/>
    <w:tmpl w:val="641F355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4">
    <w:nsid w:val="73097A51"/>
    <w:multiLevelType w:val="multilevel"/>
    <w:tmpl w:val="73097A51"/>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5">
    <w:nsid w:val="7A381BFF"/>
    <w:multiLevelType w:val="multilevel"/>
    <w:tmpl w:val="7A381BFF"/>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6">
    <w:nsid w:val="7FF23529"/>
    <w:multiLevelType w:val="multilevel"/>
    <w:tmpl w:val="7FF2352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777B1"/>
    <w:rsid w:val="00484037"/>
    <w:rsid w:val="00485F1E"/>
    <w:rsid w:val="004862D3"/>
    <w:rsid w:val="004B366F"/>
    <w:rsid w:val="004C43A2"/>
    <w:rsid w:val="004F18CA"/>
    <w:rsid w:val="004F2916"/>
    <w:rsid w:val="00505094"/>
    <w:rsid w:val="005121DB"/>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D4D25"/>
    <w:rsid w:val="008E2025"/>
    <w:rsid w:val="00917903"/>
    <w:rsid w:val="009321DD"/>
    <w:rsid w:val="00932744"/>
    <w:rsid w:val="00934B2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A570B"/>
    <w:rsid w:val="00AC1AA3"/>
    <w:rsid w:val="00AF206C"/>
    <w:rsid w:val="00AF3EE8"/>
    <w:rsid w:val="00B03B06"/>
    <w:rsid w:val="00B12568"/>
    <w:rsid w:val="00B37486"/>
    <w:rsid w:val="00B44C29"/>
    <w:rsid w:val="00B6355F"/>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974537"/>
    <w:rsid w:val="07D2322E"/>
    <w:rsid w:val="08EF74F7"/>
    <w:rsid w:val="0A8F75A1"/>
    <w:rsid w:val="0CCD06E5"/>
    <w:rsid w:val="0DF21C20"/>
    <w:rsid w:val="10054BC1"/>
    <w:rsid w:val="10CB4D9E"/>
    <w:rsid w:val="11356859"/>
    <w:rsid w:val="14C740AE"/>
    <w:rsid w:val="1840460D"/>
    <w:rsid w:val="19DC58E2"/>
    <w:rsid w:val="1CCA34FA"/>
    <w:rsid w:val="1F2A58FF"/>
    <w:rsid w:val="212B39E5"/>
    <w:rsid w:val="24A83A4A"/>
    <w:rsid w:val="26C54C83"/>
    <w:rsid w:val="2B08617B"/>
    <w:rsid w:val="2BD41710"/>
    <w:rsid w:val="2C1D3995"/>
    <w:rsid w:val="2C6259B9"/>
    <w:rsid w:val="2D0D685B"/>
    <w:rsid w:val="2E647182"/>
    <w:rsid w:val="326710A5"/>
    <w:rsid w:val="32855598"/>
    <w:rsid w:val="32BC0DF5"/>
    <w:rsid w:val="332340F8"/>
    <w:rsid w:val="3C005C81"/>
    <w:rsid w:val="3E166C00"/>
    <w:rsid w:val="405829B9"/>
    <w:rsid w:val="443C4368"/>
    <w:rsid w:val="44787E48"/>
    <w:rsid w:val="44CB7681"/>
    <w:rsid w:val="48BF2FC0"/>
    <w:rsid w:val="4B0F3303"/>
    <w:rsid w:val="4C4711CA"/>
    <w:rsid w:val="4C4C11A5"/>
    <w:rsid w:val="4C717DB1"/>
    <w:rsid w:val="4D7A4FD4"/>
    <w:rsid w:val="513375BE"/>
    <w:rsid w:val="515C1EE0"/>
    <w:rsid w:val="52A02645"/>
    <w:rsid w:val="551F7702"/>
    <w:rsid w:val="55637454"/>
    <w:rsid w:val="56B50A95"/>
    <w:rsid w:val="58E24DFC"/>
    <w:rsid w:val="59A3643A"/>
    <w:rsid w:val="5BB00ED0"/>
    <w:rsid w:val="5F4F1EDD"/>
    <w:rsid w:val="60840A2F"/>
    <w:rsid w:val="62546928"/>
    <w:rsid w:val="649F25D7"/>
    <w:rsid w:val="64D80287"/>
    <w:rsid w:val="68103CA5"/>
    <w:rsid w:val="6BBC2A72"/>
    <w:rsid w:val="6DBB50B5"/>
    <w:rsid w:val="6F1D017B"/>
    <w:rsid w:val="713D3924"/>
    <w:rsid w:val="73BB5C94"/>
    <w:rsid w:val="757E3C37"/>
    <w:rsid w:val="75E00EDC"/>
    <w:rsid w:val="75FD3827"/>
    <w:rsid w:val="76A32406"/>
    <w:rsid w:val="76C73A76"/>
    <w:rsid w:val="776F154C"/>
    <w:rsid w:val="7ADF73EA"/>
    <w:rsid w:val="7B20068B"/>
    <w:rsid w:val="7C14005F"/>
    <w:rsid w:val="7C1703FE"/>
    <w:rsid w:val="7C7A0A98"/>
    <w:rsid w:val="7C7F513A"/>
    <w:rsid w:val="7E402845"/>
    <w:rsid w:val="7E8545C2"/>
    <w:rsid w:val="7E8D1B3C"/>
    <w:rsid w:val="7FA64CEB"/>
    <w:rsid w:val="7FD250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9"/>
    <w:pPr>
      <w:keepNext/>
      <w:keepLines/>
      <w:spacing w:before="340" w:after="330" w:line="576" w:lineRule="auto"/>
      <w:jc w:val="center"/>
      <w:outlineLvl w:val="0"/>
    </w:pPr>
    <w:rPr>
      <w:rFonts w:ascii="Calibri" w:hAnsi="Calibri"/>
      <w:b/>
      <w:bCs/>
      <w:kern w:val="44"/>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link w:val="9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ascii="Calibri" w:hAnsi="Calibri" w:eastAsia="宋体" w:cs="Times New Roman"/>
      <w:sz w:val="21"/>
    </w:rPr>
  </w:style>
  <w:style w:type="character" w:styleId="16">
    <w:name w:val="page number"/>
    <w:basedOn w:val="14"/>
    <w:qFormat/>
    <w:uiPriority w:val="99"/>
    <w:rPr>
      <w:rFonts w:cs="Times New Roman"/>
    </w:rPr>
  </w:style>
  <w:style w:type="character" w:styleId="17">
    <w:name w:val="FollowedHyperlink"/>
    <w:basedOn w:val="14"/>
    <w:qFormat/>
    <w:locked/>
    <w:uiPriority w:val="99"/>
    <w:rPr>
      <w:rFonts w:cs="Times New Roman"/>
      <w:color w:val="800080"/>
      <w:u w:val="single"/>
    </w:rPr>
  </w:style>
  <w:style w:type="character" w:styleId="18">
    <w:name w:val="Emphasis"/>
    <w:basedOn w:val="14"/>
    <w:qFormat/>
    <w:locked/>
    <w:uiPriority w:val="99"/>
    <w:rPr>
      <w:rFonts w:cs="Times New Roman"/>
      <w:i/>
    </w:rPr>
  </w:style>
  <w:style w:type="character" w:styleId="19">
    <w:name w:val="Hyperlink"/>
    <w:basedOn w:val="14"/>
    <w:qFormat/>
    <w:uiPriority w:val="99"/>
    <w:rPr>
      <w:rFonts w:cs="Times New Roman"/>
      <w:color w:val="0000FF"/>
      <w:u w:val="single"/>
    </w:rPr>
  </w:style>
  <w:style w:type="character" w:customStyle="1" w:styleId="20">
    <w:name w:val="标题 1 Char"/>
    <w:basedOn w:val="14"/>
    <w:link w:val="2"/>
    <w:qFormat/>
    <w:locked/>
    <w:uiPriority w:val="99"/>
    <w:rPr>
      <w:rFonts w:ascii="Calibri" w:hAnsi="Calibri" w:eastAsia="宋体"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页眉 Char1"/>
    <w:basedOn w:val="14"/>
    <w:link w:val="8"/>
    <w:qFormat/>
    <w:locked/>
    <w:uiPriority w:val="99"/>
    <w:rPr>
      <w:rFonts w:cs="Times New Roman"/>
      <w:kern w:val="2"/>
      <w:sz w:val="18"/>
    </w:rPr>
  </w:style>
  <w:style w:type="character" w:customStyle="1" w:styleId="31">
    <w:name w:val="页脚 Char1"/>
    <w:basedOn w:val="14"/>
    <w:link w:val="7"/>
    <w:qFormat/>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lang w:val="en-US" w:eastAsia="zh-CN" w:bidi="ar-SA"/>
    </w:rPr>
  </w:style>
  <w:style w:type="character" w:customStyle="1" w:styleId="33">
    <w:name w:val="标题 Char"/>
    <w:basedOn w:val="14"/>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qFormat/>
    <w:locked/>
    <w:uiPriority w:val="99"/>
    <w:rPr>
      <w:rFonts w:ascii="宋体" w:hAnsi="Courier New"/>
      <w:kern w:val="2"/>
      <w:sz w:val="21"/>
    </w:rPr>
  </w:style>
  <w:style w:type="character" w:customStyle="1" w:styleId="36">
    <w:name w:val="纯文本 Char"/>
    <w:basedOn w:val="14"/>
    <w:link w:val="4"/>
    <w:semiHidden/>
    <w:qFormat/>
    <w:locked/>
    <w:uiPriority w:val="99"/>
    <w:rPr>
      <w:rFonts w:ascii="宋体" w:hAnsi="Courier New" w:cs="Courier New"/>
      <w:sz w:val="21"/>
      <w:szCs w:val="21"/>
    </w:rPr>
  </w:style>
  <w:style w:type="character" w:customStyle="1" w:styleId="37">
    <w:name w:val="Balloon Text Char"/>
    <w:qFormat/>
    <w:locked/>
    <w:uiPriority w:val="99"/>
    <w:rPr>
      <w:kern w:val="2"/>
      <w:sz w:val="18"/>
    </w:rPr>
  </w:style>
  <w:style w:type="character" w:customStyle="1" w:styleId="38">
    <w:name w:val="批注框文本 Char2"/>
    <w:basedOn w:val="14"/>
    <w:link w:val="6"/>
    <w:semiHidden/>
    <w:qFormat/>
    <w:locked/>
    <w:uiPriority w:val="99"/>
    <w:rPr>
      <w:rFonts w:cs="Times New Roman"/>
      <w:sz w:val="2"/>
    </w:rPr>
  </w:style>
  <w:style w:type="character" w:customStyle="1" w:styleId="39">
    <w:name w:val="Date Char"/>
    <w:qFormat/>
    <w:locked/>
    <w:uiPriority w:val="99"/>
    <w:rPr>
      <w:kern w:val="2"/>
      <w:sz w:val="22"/>
    </w:rPr>
  </w:style>
  <w:style w:type="character" w:customStyle="1" w:styleId="40">
    <w:name w:val="日期 Char"/>
    <w:basedOn w:val="14"/>
    <w:link w:val="5"/>
    <w:semiHidden/>
    <w:qFormat/>
    <w:locked/>
    <w:uiPriority w:val="99"/>
    <w:rPr>
      <w:rFonts w:cs="Times New Roman"/>
      <w:sz w:val="20"/>
      <w:szCs w:val="20"/>
    </w:rPr>
  </w:style>
  <w:style w:type="character" w:customStyle="1" w:styleId="41">
    <w:name w:val="纯文本 Char1"/>
    <w:basedOn w:val="14"/>
    <w:qFormat/>
    <w:uiPriority w:val="99"/>
    <w:rPr>
      <w:rFonts w:ascii="宋体" w:hAnsi="Courier New" w:cs="Courier New"/>
      <w:kern w:val="2"/>
      <w:sz w:val="21"/>
      <w:szCs w:val="21"/>
    </w:rPr>
  </w:style>
  <w:style w:type="character" w:customStyle="1" w:styleId="42">
    <w:name w:val="日期 Char1"/>
    <w:basedOn w:val="14"/>
    <w:qFormat/>
    <w:uiPriority w:val="99"/>
    <w:rPr>
      <w:rFonts w:cs="Times New Roman"/>
      <w:kern w:val="2"/>
      <w:sz w:val="21"/>
    </w:rPr>
  </w:style>
  <w:style w:type="paragraph" w:customStyle="1" w:styleId="43">
    <w:name w:val="Char Char Char Char"/>
    <w:basedOn w:val="1"/>
    <w:qFormat/>
    <w:uiPriority w:val="99"/>
    <w:rPr>
      <w:szCs w:val="24"/>
    </w:rPr>
  </w:style>
  <w:style w:type="character" w:customStyle="1" w:styleId="44">
    <w:name w:val="批注框文本 Char1"/>
    <w:basedOn w:val="14"/>
    <w:qFormat/>
    <w:uiPriority w:val="99"/>
    <w:rPr>
      <w:rFonts w:cs="Times New Roman"/>
      <w:kern w:val="2"/>
      <w:sz w:val="18"/>
      <w:szCs w:val="18"/>
    </w:rPr>
  </w:style>
  <w:style w:type="character" w:customStyle="1" w:styleId="45">
    <w:name w:val="正文文本 Char"/>
    <w:basedOn w:val="14"/>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basedOn w:val="14"/>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basedOn w:val="14"/>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basedOn w:val="14"/>
    <w:qFormat/>
    <w:uiPriority w:val="99"/>
    <w:rPr>
      <w:rFonts w:ascii="Times New Roman" w:hAnsi="Times New Roman" w:eastAsia="宋体" w:cs="Times New Roman"/>
      <w:color w:val="0000FF"/>
      <w:u w:val="single"/>
    </w:rPr>
  </w:style>
  <w:style w:type="character" w:customStyle="1" w:styleId="66">
    <w:name w:val="15"/>
    <w:basedOn w:val="14"/>
    <w:qFormat/>
    <w:uiPriority w:val="99"/>
    <w:rPr>
      <w:rFonts w:ascii="Times New Roman" w:hAnsi="Times New Roman" w:cs="Times New Roman"/>
      <w:color w:val="0000FF"/>
      <w:u w:val="single"/>
    </w:rPr>
  </w:style>
  <w:style w:type="paragraph" w:customStyle="1" w:styleId="67">
    <w:name w:val="正文文本 (2)"/>
    <w:basedOn w:val="1"/>
    <w:qFormat/>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qFormat/>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0"/>
      <w:szCs w:val="24"/>
    </w:rPr>
  </w:style>
  <w:style w:type="paragraph" w:customStyle="1" w:styleId="72">
    <w:name w:val="Body text|2"/>
    <w:basedOn w:val="1"/>
    <w:qFormat/>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qFormat/>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qFormat/>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character" w:customStyle="1" w:styleId="91">
    <w:name w:val="普通(网站) Char"/>
    <w:link w:val="10"/>
    <w:qFormat/>
    <w:uiPriority w:val="99"/>
    <w:rPr>
      <w:rFonts w:ascii="Calibri" w:hAnsi="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90</Pages>
  <Words>12391</Words>
  <Characters>70635</Characters>
  <Lines>588</Lines>
  <Paragraphs>165</Paragraphs>
  <TotalTime>256</TotalTime>
  <ScaleCrop>false</ScaleCrop>
  <LinksUpToDate>false</LinksUpToDate>
  <CharactersWithSpaces>82861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风来疏竹</cp:lastModifiedBy>
  <cp:lastPrinted>2020-06-05T07:18:00Z</cp:lastPrinted>
  <dcterms:modified xsi:type="dcterms:W3CDTF">2020-11-24T08:20:56Z</dcterms:modified>
  <dc:title>河南省试点领域基层政务公开标准目录汇编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